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858B15" w14:textId="62C1A4FB" w:rsidR="00EE32A2" w:rsidRDefault="003A6304" w:rsidP="00EE32A2">
      <w:pPr>
        <w:jc w:val="both"/>
        <w:rPr>
          <w:rFonts w:ascii="Times New Roman" w:hAnsi="Times New Roman"/>
        </w:rPr>
      </w:pPr>
      <w:r>
        <w:rPr>
          <w:rFonts w:ascii="Times New Roman" w:hAnsi="Times New Roman"/>
          <w:b/>
        </w:rPr>
        <w:t>NEPA – CUMULATIVE EFFECT OF PAST PROJECTS ANALYSIS</w:t>
      </w:r>
      <w:r w:rsidR="00EE32A2">
        <w:rPr>
          <w:rFonts w:ascii="Times New Roman" w:hAnsi="Times New Roman"/>
          <w:b/>
        </w:rPr>
        <w:t>: Why the U.S. Forest Service will prevail in Friends of the Wild Swan v. Garcia</w:t>
      </w:r>
      <w:r w:rsidRPr="003A6304">
        <w:rPr>
          <w:rFonts w:ascii="Times New Roman" w:hAnsi="Times New Roman"/>
          <w:b/>
        </w:rPr>
        <w:t xml:space="preserve"> </w:t>
      </w:r>
      <w:r>
        <w:rPr>
          <w:rFonts w:ascii="Times New Roman" w:hAnsi="Times New Roman"/>
          <w:b/>
        </w:rPr>
        <w:t>at the Ninth Circuit Court of Appeals</w:t>
      </w:r>
      <w:r w:rsidR="00EE32A2">
        <w:rPr>
          <w:rFonts w:ascii="Times New Roman" w:hAnsi="Times New Roman"/>
          <w:b/>
        </w:rPr>
        <w:t xml:space="preserve"> – </w:t>
      </w:r>
      <w:r w:rsidR="00EE32A2">
        <w:rPr>
          <w:rFonts w:ascii="Times New Roman" w:hAnsi="Times New Roman"/>
          <w:b/>
          <w:i/>
        </w:rPr>
        <w:t>Friends of the Wild Swan v. Garcia</w:t>
      </w:r>
      <w:r w:rsidR="00EE32A2">
        <w:rPr>
          <w:rFonts w:ascii="Times New Roman" w:hAnsi="Times New Roman"/>
          <w:b/>
        </w:rPr>
        <w:t>, Docket #: 14-35463 (2014)</w:t>
      </w:r>
    </w:p>
    <w:p w14:paraId="6135552E" w14:textId="77777777" w:rsidR="00EE32A2" w:rsidRDefault="00EE32A2" w:rsidP="00EE32A2">
      <w:pPr>
        <w:jc w:val="both"/>
        <w:rPr>
          <w:rFonts w:ascii="Times New Roman" w:hAnsi="Times New Roman"/>
        </w:rPr>
      </w:pPr>
    </w:p>
    <w:p w14:paraId="765C82D7" w14:textId="77777777" w:rsidR="00B102EF" w:rsidRDefault="00B102EF" w:rsidP="0095164D">
      <w:pPr>
        <w:spacing w:line="360" w:lineRule="auto"/>
        <w:jc w:val="center"/>
        <w:rPr>
          <w:rFonts w:ascii="Times New Roman" w:hAnsi="Times New Roman"/>
        </w:rPr>
      </w:pPr>
    </w:p>
    <w:p w14:paraId="012D8757" w14:textId="4D3B8E6F" w:rsidR="00EE32A2" w:rsidRDefault="00EE32A2" w:rsidP="0095164D">
      <w:pPr>
        <w:spacing w:line="360" w:lineRule="auto"/>
        <w:jc w:val="center"/>
        <w:rPr>
          <w:rFonts w:ascii="Times New Roman" w:hAnsi="Times New Roman"/>
        </w:rPr>
      </w:pPr>
      <w:r>
        <w:rPr>
          <w:rFonts w:ascii="Times New Roman" w:hAnsi="Times New Roman"/>
        </w:rPr>
        <w:t>I. INTRODUCTION</w:t>
      </w:r>
    </w:p>
    <w:p w14:paraId="5614656B" w14:textId="77777777" w:rsidR="00B102EF" w:rsidRDefault="00EE32A2" w:rsidP="00D95695">
      <w:pPr>
        <w:widowControl w:val="0"/>
        <w:autoSpaceDE w:val="0"/>
        <w:autoSpaceDN w:val="0"/>
        <w:adjustRightInd w:val="0"/>
        <w:spacing w:line="360" w:lineRule="auto"/>
      </w:pPr>
      <w:r>
        <w:tab/>
      </w:r>
    </w:p>
    <w:p w14:paraId="4AADD438" w14:textId="24D1E095" w:rsidR="00EE32A2" w:rsidRDefault="00A54709" w:rsidP="00D95695">
      <w:pPr>
        <w:widowControl w:val="0"/>
        <w:autoSpaceDE w:val="0"/>
        <w:autoSpaceDN w:val="0"/>
        <w:adjustRightInd w:val="0"/>
        <w:spacing w:line="360" w:lineRule="auto"/>
        <w:rPr>
          <w:rFonts w:ascii="Times New Roman" w:hAnsi="Times New Roman"/>
        </w:rPr>
      </w:pPr>
      <w:r>
        <w:rPr>
          <w:rFonts w:ascii="Times New Roman" w:hAnsi="Times New Roman"/>
        </w:rPr>
        <w:tab/>
      </w:r>
      <w:r w:rsidR="00EE32A2">
        <w:rPr>
          <w:rFonts w:ascii="Times New Roman" w:hAnsi="Times New Roman"/>
        </w:rPr>
        <w:t>Friends of the Wild Swan v. Austin</w:t>
      </w:r>
      <w:r w:rsidR="00EE32A2">
        <w:rPr>
          <w:rStyle w:val="FootnoteReference"/>
          <w:rFonts w:ascii="Times New Roman" w:hAnsi="Times New Roman"/>
        </w:rPr>
        <w:footnoteReference w:id="1"/>
      </w:r>
      <w:r w:rsidR="00EE32A2">
        <w:rPr>
          <w:rFonts w:ascii="Times New Roman" w:hAnsi="Times New Roman"/>
        </w:rPr>
        <w:t xml:space="preserve"> (“</w:t>
      </w:r>
      <w:r w:rsidR="00EE32A2">
        <w:rPr>
          <w:rFonts w:ascii="Times New Roman" w:hAnsi="Times New Roman"/>
          <w:i/>
        </w:rPr>
        <w:t>Friends”)</w:t>
      </w:r>
      <w:r w:rsidR="00EE32A2">
        <w:rPr>
          <w:rFonts w:ascii="Times New Roman" w:hAnsi="Times New Roman"/>
        </w:rPr>
        <w:t xml:space="preserve"> is an ongoing challenge by a small alliance of conservation groups</w:t>
      </w:r>
      <w:r w:rsidR="00EE32A2">
        <w:rPr>
          <w:rStyle w:val="FootnoteReference"/>
          <w:rFonts w:ascii="Times New Roman" w:hAnsi="Times New Roman"/>
        </w:rPr>
        <w:footnoteReference w:id="2"/>
      </w:r>
      <w:r w:rsidR="00EE32A2">
        <w:rPr>
          <w:rFonts w:ascii="Times New Roman" w:hAnsi="Times New Roman"/>
        </w:rPr>
        <w:t xml:space="preserve"> to a U.S. Forest Service (F</w:t>
      </w:r>
      <w:r w:rsidR="00555819">
        <w:rPr>
          <w:rFonts w:ascii="Times New Roman" w:hAnsi="Times New Roman"/>
        </w:rPr>
        <w:t>orest Service) decision to proceed with a timber management proposal called</w:t>
      </w:r>
      <w:r w:rsidR="00EE32A2">
        <w:rPr>
          <w:rFonts w:ascii="Times New Roman" w:hAnsi="Times New Roman"/>
        </w:rPr>
        <w:t xml:space="preserve"> the Colt Summit Restoration and Fuel Reduction Project (Colt </w:t>
      </w:r>
      <w:r w:rsidR="008C159B">
        <w:rPr>
          <w:rFonts w:ascii="Times New Roman" w:hAnsi="Times New Roman"/>
        </w:rPr>
        <w:t>Summit Project). The groups allege that</w:t>
      </w:r>
      <w:r w:rsidR="00EE32A2">
        <w:rPr>
          <w:rFonts w:ascii="Times New Roman" w:hAnsi="Times New Roman"/>
        </w:rPr>
        <w:t xml:space="preserve"> the Forest S</w:t>
      </w:r>
      <w:r w:rsidR="008C159B">
        <w:rPr>
          <w:rFonts w:ascii="Times New Roman" w:hAnsi="Times New Roman"/>
        </w:rPr>
        <w:t>ervice’s proposed project fails</w:t>
      </w:r>
      <w:r w:rsidR="00EE32A2">
        <w:rPr>
          <w:rFonts w:ascii="Times New Roman" w:hAnsi="Times New Roman"/>
        </w:rPr>
        <w:t xml:space="preserve"> to meet National Environmental Policy Act</w:t>
      </w:r>
      <w:r w:rsidR="00EE32A2">
        <w:rPr>
          <w:rStyle w:val="FootnoteReference"/>
          <w:rFonts w:ascii="Times New Roman" w:hAnsi="Times New Roman"/>
        </w:rPr>
        <w:footnoteReference w:id="3"/>
      </w:r>
      <w:r w:rsidR="008C159B">
        <w:rPr>
          <w:rFonts w:ascii="Times New Roman" w:hAnsi="Times New Roman"/>
        </w:rPr>
        <w:t xml:space="preserve"> (NEPA) standards </w:t>
      </w:r>
      <w:r w:rsidR="00EE32A2">
        <w:rPr>
          <w:rFonts w:ascii="Times New Roman" w:hAnsi="Times New Roman"/>
        </w:rPr>
        <w:t>because the Forest Service’s environmental analysis</w:t>
      </w:r>
      <w:r w:rsidR="00EE32A2">
        <w:rPr>
          <w:rStyle w:val="FootnoteReference"/>
          <w:rFonts w:ascii="Times New Roman" w:hAnsi="Times New Roman"/>
        </w:rPr>
        <w:footnoteReference w:id="4"/>
      </w:r>
      <w:r w:rsidR="00147F17">
        <w:rPr>
          <w:rFonts w:ascii="Times New Roman" w:hAnsi="Times New Roman"/>
        </w:rPr>
        <w:t xml:space="preserve"> (EA) of the </w:t>
      </w:r>
      <w:bookmarkStart w:id="0" w:name="_GoBack"/>
      <w:bookmarkEnd w:id="0"/>
      <w:r w:rsidR="00D95695">
        <w:rPr>
          <w:rFonts w:ascii="Times New Roman" w:hAnsi="Times New Roman"/>
        </w:rPr>
        <w:t>project area was insufficient. Without a sufficient analysis, the groups claim the public and the courts will not be a</w:t>
      </w:r>
      <w:r w:rsidR="006A12EE">
        <w:rPr>
          <w:rFonts w:ascii="Times New Roman" w:hAnsi="Times New Roman"/>
        </w:rPr>
        <w:t>ble to determine if species like the</w:t>
      </w:r>
      <w:r w:rsidR="00D95695">
        <w:rPr>
          <w:rFonts w:ascii="Times New Roman" w:hAnsi="Times New Roman"/>
        </w:rPr>
        <w:t xml:space="preserve"> lynx, listed under the Endangered Species Act</w:t>
      </w:r>
      <w:r w:rsidR="00D95695">
        <w:rPr>
          <w:rStyle w:val="FootnoteReference"/>
          <w:rFonts w:ascii="Times New Roman" w:hAnsi="Times New Roman"/>
        </w:rPr>
        <w:footnoteReference w:id="5"/>
      </w:r>
      <w:r w:rsidR="00D95695">
        <w:rPr>
          <w:rFonts w:ascii="Times New Roman" w:hAnsi="Times New Roman"/>
        </w:rPr>
        <w:t xml:space="preserve"> (ESA), will be adequately protected. </w:t>
      </w:r>
      <w:r w:rsidR="0095164D">
        <w:rPr>
          <w:rFonts w:ascii="Times New Roman" w:hAnsi="Times New Roman"/>
        </w:rPr>
        <w:t>T</w:t>
      </w:r>
      <w:r w:rsidR="00E138FC">
        <w:rPr>
          <w:rFonts w:ascii="Times New Roman" w:hAnsi="Times New Roman"/>
        </w:rPr>
        <w:t>he environmental</w:t>
      </w:r>
      <w:r w:rsidR="0095164D">
        <w:rPr>
          <w:rFonts w:ascii="Times New Roman" w:hAnsi="Times New Roman"/>
        </w:rPr>
        <w:t xml:space="preserve"> groups</w:t>
      </w:r>
      <w:r w:rsidR="00E138FC">
        <w:rPr>
          <w:rFonts w:ascii="Times New Roman" w:hAnsi="Times New Roman"/>
        </w:rPr>
        <w:t xml:space="preserve"> </w:t>
      </w:r>
      <w:r w:rsidR="008C159B">
        <w:rPr>
          <w:rFonts w:ascii="Times New Roman" w:hAnsi="Times New Roman"/>
        </w:rPr>
        <w:t>raised a variety of challenges</w:t>
      </w:r>
      <w:r w:rsidR="00EE32A2">
        <w:rPr>
          <w:rFonts w:ascii="Times New Roman" w:hAnsi="Times New Roman"/>
        </w:rPr>
        <w:t xml:space="preserve"> against the Forest Service and U.S. Fish and Wildlife Service, </w:t>
      </w:r>
      <w:r w:rsidR="008C159B">
        <w:rPr>
          <w:rFonts w:ascii="Times New Roman" w:hAnsi="Times New Roman"/>
        </w:rPr>
        <w:t xml:space="preserve">of which, </w:t>
      </w:r>
      <w:r w:rsidR="00EE32A2">
        <w:rPr>
          <w:rFonts w:ascii="Times New Roman" w:hAnsi="Times New Roman"/>
        </w:rPr>
        <w:t>only a NEPA challenge claiming that the Forest Service failed to sufficiently conduct a cumulative e</w:t>
      </w:r>
      <w:r w:rsidR="006A12EE">
        <w:rPr>
          <w:rFonts w:ascii="Times New Roman" w:hAnsi="Times New Roman"/>
        </w:rPr>
        <w:t xml:space="preserve">ffects analysis on lynx withstood summary </w:t>
      </w:r>
      <w:r w:rsidR="00741A8A">
        <w:rPr>
          <w:rFonts w:ascii="Times New Roman" w:hAnsi="Times New Roman"/>
        </w:rPr>
        <w:t>judgment</w:t>
      </w:r>
      <w:r w:rsidR="00EE32A2">
        <w:rPr>
          <w:rFonts w:ascii="Times New Roman" w:hAnsi="Times New Roman"/>
        </w:rPr>
        <w:t>.</w:t>
      </w:r>
      <w:r w:rsidR="00EE32A2">
        <w:rPr>
          <w:rStyle w:val="FootnoteReference"/>
          <w:rFonts w:ascii="Times New Roman" w:hAnsi="Times New Roman"/>
        </w:rPr>
        <w:footnoteReference w:id="6"/>
      </w:r>
      <w:r w:rsidR="008C159B">
        <w:rPr>
          <w:rFonts w:ascii="Times New Roman" w:hAnsi="Times New Roman"/>
        </w:rPr>
        <w:t xml:space="preserve"> The U.S</w:t>
      </w:r>
      <w:r w:rsidR="000679B7">
        <w:rPr>
          <w:rFonts w:ascii="Times New Roman" w:hAnsi="Times New Roman"/>
        </w:rPr>
        <w:t>.</w:t>
      </w:r>
      <w:r w:rsidR="008C159B">
        <w:rPr>
          <w:rFonts w:ascii="Times New Roman" w:hAnsi="Times New Roman"/>
        </w:rPr>
        <w:t xml:space="preserve"> </w:t>
      </w:r>
      <w:r w:rsidR="00555819">
        <w:rPr>
          <w:rFonts w:ascii="Times New Roman" w:hAnsi="Times New Roman"/>
        </w:rPr>
        <w:t>District Court of Montana held</w:t>
      </w:r>
      <w:r w:rsidR="008C159B">
        <w:rPr>
          <w:rFonts w:ascii="Times New Roman" w:hAnsi="Times New Roman"/>
        </w:rPr>
        <w:t xml:space="preserve"> </w:t>
      </w:r>
      <w:r w:rsidR="00EE32A2">
        <w:rPr>
          <w:rFonts w:ascii="Times New Roman" w:hAnsi="Times New Roman"/>
        </w:rPr>
        <w:t>that “the Service did not adequately analyze the Project's cumulative effects on lynx when it overlooked past projects or actions,” and imposed a temporary injunction until a supplemental EA sufficiently addressed the cumulative impact of past projects on lynx.</w:t>
      </w:r>
      <w:r w:rsidR="00EE32A2">
        <w:rPr>
          <w:rStyle w:val="FootnoteReference"/>
          <w:rFonts w:ascii="Times New Roman" w:hAnsi="Times New Roman"/>
        </w:rPr>
        <w:footnoteReference w:id="7"/>
      </w:r>
      <w:r w:rsidR="00EE32A2">
        <w:rPr>
          <w:rFonts w:ascii="Times New Roman" w:hAnsi="Times New Roman"/>
        </w:rPr>
        <w:t xml:space="preserve"> </w:t>
      </w:r>
      <w:r w:rsidR="008C159B">
        <w:rPr>
          <w:rFonts w:ascii="Times New Roman" w:hAnsi="Times New Roman"/>
        </w:rPr>
        <w:t>Over two-years later,</w:t>
      </w:r>
      <w:r w:rsidR="00555819">
        <w:rPr>
          <w:rFonts w:ascii="Times New Roman" w:hAnsi="Times New Roman"/>
        </w:rPr>
        <w:t xml:space="preserve"> the</w:t>
      </w:r>
      <w:r w:rsidR="00EE32A2">
        <w:rPr>
          <w:rFonts w:ascii="Times New Roman" w:hAnsi="Times New Roman"/>
        </w:rPr>
        <w:t xml:space="preserve"> </w:t>
      </w:r>
      <w:r w:rsidR="00404E4C">
        <w:rPr>
          <w:rFonts w:ascii="Times New Roman" w:hAnsi="Times New Roman"/>
        </w:rPr>
        <w:t xml:space="preserve">court </w:t>
      </w:r>
      <w:r w:rsidR="00EE32A2">
        <w:rPr>
          <w:rFonts w:ascii="Times New Roman" w:hAnsi="Times New Roman"/>
        </w:rPr>
        <w:t>dissolved the injunction</w:t>
      </w:r>
      <w:r w:rsidR="00404E4C">
        <w:rPr>
          <w:rFonts w:ascii="Times New Roman" w:hAnsi="Times New Roman"/>
        </w:rPr>
        <w:t>.</w:t>
      </w:r>
      <w:r w:rsidR="00555819">
        <w:rPr>
          <w:rStyle w:val="FootnoteReference"/>
          <w:rFonts w:ascii="Times New Roman" w:hAnsi="Times New Roman"/>
        </w:rPr>
        <w:footnoteReference w:id="8"/>
      </w:r>
      <w:r w:rsidR="008C159B">
        <w:rPr>
          <w:rFonts w:ascii="Times New Roman" w:hAnsi="Times New Roman"/>
        </w:rPr>
        <w:t xml:space="preserve"> Currently, the environme</w:t>
      </w:r>
      <w:r w:rsidR="001F5849">
        <w:rPr>
          <w:rFonts w:ascii="Times New Roman" w:hAnsi="Times New Roman"/>
        </w:rPr>
        <w:t>n</w:t>
      </w:r>
      <w:r w:rsidR="008C159B">
        <w:rPr>
          <w:rFonts w:ascii="Times New Roman" w:hAnsi="Times New Roman"/>
        </w:rPr>
        <w:t>tal</w:t>
      </w:r>
      <w:r w:rsidR="00EE32A2">
        <w:rPr>
          <w:rFonts w:ascii="Times New Roman" w:hAnsi="Times New Roman"/>
        </w:rPr>
        <w:t xml:space="preserve"> groups are appealing the lower court’s ruling to the Ninth Circuit Court of </w:t>
      </w:r>
      <w:r w:rsidR="00EE32A2">
        <w:rPr>
          <w:rFonts w:ascii="Times New Roman" w:hAnsi="Times New Roman"/>
        </w:rPr>
        <w:lastRenderedPageBreak/>
        <w:t>Appeals (9</w:t>
      </w:r>
      <w:r w:rsidR="00EE32A2">
        <w:rPr>
          <w:rFonts w:ascii="Times New Roman" w:hAnsi="Times New Roman"/>
          <w:vertAlign w:val="superscript"/>
        </w:rPr>
        <w:t>th</w:t>
      </w:r>
      <w:r w:rsidR="00EE32A2">
        <w:rPr>
          <w:rFonts w:ascii="Times New Roman" w:hAnsi="Times New Roman"/>
        </w:rPr>
        <w:t xml:space="preserve"> Circuit) in </w:t>
      </w:r>
      <w:r w:rsidR="00EE32A2">
        <w:rPr>
          <w:rFonts w:ascii="Times New Roman" w:hAnsi="Times New Roman"/>
          <w:i/>
        </w:rPr>
        <w:t>Friends of the Wild Swan v. Garcia.</w:t>
      </w:r>
      <w:r w:rsidR="00EE32A2">
        <w:rPr>
          <w:rStyle w:val="FootnoteReference"/>
          <w:rFonts w:ascii="Times New Roman" w:hAnsi="Times New Roman"/>
        </w:rPr>
        <w:footnoteReference w:id="9"/>
      </w:r>
    </w:p>
    <w:p w14:paraId="3E38341D" w14:textId="2C2F9B05" w:rsidR="00EE32A2" w:rsidRDefault="00DE7DF2" w:rsidP="0095164D">
      <w:pPr>
        <w:widowControl w:val="0"/>
        <w:autoSpaceDE w:val="0"/>
        <w:autoSpaceDN w:val="0"/>
        <w:adjustRightInd w:val="0"/>
        <w:spacing w:line="360" w:lineRule="auto"/>
        <w:rPr>
          <w:rFonts w:ascii="Times New Roman" w:hAnsi="Times New Roman"/>
        </w:rPr>
      </w:pPr>
      <w:r>
        <w:rPr>
          <w:rFonts w:ascii="Times New Roman" w:hAnsi="Times New Roman"/>
        </w:rPr>
        <w:tab/>
      </w:r>
      <w:r w:rsidR="00EE32A2">
        <w:rPr>
          <w:rFonts w:ascii="Times New Roman" w:hAnsi="Times New Roman"/>
        </w:rPr>
        <w:t xml:space="preserve">On appeal, the Forest Service will prevail in </w:t>
      </w:r>
      <w:r w:rsidR="00EE32A2">
        <w:rPr>
          <w:rFonts w:ascii="Times New Roman" w:hAnsi="Times New Roman"/>
          <w:i/>
        </w:rPr>
        <w:t>Friends</w:t>
      </w:r>
      <w:r w:rsidR="00EE32A2">
        <w:rPr>
          <w:rFonts w:ascii="Times New Roman" w:hAnsi="Times New Roman"/>
        </w:rPr>
        <w:t xml:space="preserve"> at the 9th Circuit because the District Court failed to follow 9</w:t>
      </w:r>
      <w:r w:rsidR="00EE32A2">
        <w:rPr>
          <w:rFonts w:ascii="Times New Roman" w:hAnsi="Times New Roman"/>
          <w:vertAlign w:val="superscript"/>
        </w:rPr>
        <w:t>th</w:t>
      </w:r>
      <w:r w:rsidR="00EE32A2">
        <w:rPr>
          <w:rFonts w:ascii="Times New Roman" w:hAnsi="Times New Roman"/>
        </w:rPr>
        <w:t xml:space="preserve"> Circuit cumulative ef</w:t>
      </w:r>
      <w:r w:rsidR="0095164D">
        <w:rPr>
          <w:rFonts w:ascii="Times New Roman" w:hAnsi="Times New Roman"/>
        </w:rPr>
        <w:t>fects of past actions precedent.</w:t>
      </w:r>
      <w:r w:rsidR="00EE32A2">
        <w:rPr>
          <w:rFonts w:ascii="Times New Roman" w:hAnsi="Times New Roman"/>
        </w:rPr>
        <w:t xml:space="preserve"> </w:t>
      </w:r>
      <w:r w:rsidR="0024282E">
        <w:rPr>
          <w:rFonts w:ascii="Times New Roman" w:hAnsi="Times New Roman"/>
        </w:rPr>
        <w:t xml:space="preserve">This note </w:t>
      </w:r>
      <w:r w:rsidR="005E69CA">
        <w:rPr>
          <w:rFonts w:ascii="Times New Roman" w:hAnsi="Times New Roman"/>
        </w:rPr>
        <w:t>will begin</w:t>
      </w:r>
      <w:r w:rsidR="0024282E">
        <w:rPr>
          <w:rFonts w:ascii="Times New Roman" w:hAnsi="Times New Roman"/>
        </w:rPr>
        <w:t xml:space="preserve"> by discussing</w:t>
      </w:r>
      <w:r w:rsidR="008C159B">
        <w:rPr>
          <w:rFonts w:ascii="Times New Roman" w:hAnsi="Times New Roman"/>
        </w:rPr>
        <w:t xml:space="preserve"> the relevan</w:t>
      </w:r>
      <w:r w:rsidR="0024282E">
        <w:rPr>
          <w:rFonts w:ascii="Times New Roman" w:hAnsi="Times New Roman"/>
        </w:rPr>
        <w:t>t historic and legal background</w:t>
      </w:r>
      <w:r w:rsidR="00404E4C">
        <w:rPr>
          <w:rFonts w:ascii="Times New Roman" w:hAnsi="Times New Roman"/>
        </w:rPr>
        <w:t xml:space="preserve"> </w:t>
      </w:r>
      <w:r w:rsidR="00EE32A2">
        <w:rPr>
          <w:rFonts w:ascii="Times New Roman" w:hAnsi="Times New Roman"/>
        </w:rPr>
        <w:t xml:space="preserve">necessary to understand the </w:t>
      </w:r>
      <w:r w:rsidR="00EE32A2">
        <w:rPr>
          <w:rFonts w:ascii="Times New Roman" w:hAnsi="Times New Roman"/>
          <w:i/>
        </w:rPr>
        <w:t xml:space="preserve">Friends </w:t>
      </w:r>
      <w:r w:rsidR="00EE32A2">
        <w:rPr>
          <w:rFonts w:ascii="Times New Roman" w:hAnsi="Times New Roman"/>
        </w:rPr>
        <w:t>controversy</w:t>
      </w:r>
      <w:r w:rsidR="0024282E">
        <w:rPr>
          <w:rFonts w:ascii="Times New Roman" w:hAnsi="Times New Roman"/>
        </w:rPr>
        <w:t xml:space="preserve">. It </w:t>
      </w:r>
      <w:r w:rsidR="0095164D">
        <w:rPr>
          <w:rFonts w:ascii="Times New Roman" w:hAnsi="Times New Roman"/>
        </w:rPr>
        <w:t>will then analyze</w:t>
      </w:r>
      <w:r w:rsidR="0024282E">
        <w:rPr>
          <w:rFonts w:ascii="Times New Roman" w:hAnsi="Times New Roman"/>
        </w:rPr>
        <w:t xml:space="preserve"> the court’s opinion, arguing that the district court erred by: (a) relying on distinguishable </w:t>
      </w:r>
      <w:r w:rsidR="00D37D9C">
        <w:rPr>
          <w:rFonts w:ascii="Times New Roman" w:hAnsi="Times New Roman"/>
        </w:rPr>
        <w:t>9</w:t>
      </w:r>
      <w:r w:rsidR="00D37D9C" w:rsidRPr="00D37D9C">
        <w:rPr>
          <w:rFonts w:ascii="Times New Roman" w:hAnsi="Times New Roman"/>
          <w:vertAlign w:val="superscript"/>
        </w:rPr>
        <w:t>th</w:t>
      </w:r>
      <w:r w:rsidR="00D37D9C">
        <w:rPr>
          <w:rFonts w:ascii="Times New Roman" w:hAnsi="Times New Roman"/>
        </w:rPr>
        <w:t xml:space="preserve"> Circuit precedent, which led the court to (b) </w:t>
      </w:r>
      <w:r w:rsidR="003E32FC">
        <w:rPr>
          <w:rFonts w:ascii="Times New Roman" w:hAnsi="Times New Roman"/>
        </w:rPr>
        <w:t xml:space="preserve">incorrectly </w:t>
      </w:r>
      <w:r w:rsidR="00D37D9C">
        <w:rPr>
          <w:rFonts w:ascii="Times New Roman" w:hAnsi="Times New Roman"/>
        </w:rPr>
        <w:t>focus its analysis on a narrow section of the EA instead of the whole record, thereby (c) compro</w:t>
      </w:r>
      <w:r w:rsidR="003E32FC">
        <w:rPr>
          <w:rFonts w:ascii="Times New Roman" w:hAnsi="Times New Roman"/>
        </w:rPr>
        <w:t>mising its ability to recognize</w:t>
      </w:r>
      <w:r w:rsidR="00D37D9C">
        <w:rPr>
          <w:rFonts w:ascii="Times New Roman" w:hAnsi="Times New Roman"/>
        </w:rPr>
        <w:t xml:space="preserve"> the</w:t>
      </w:r>
      <w:r w:rsidR="003E32FC">
        <w:rPr>
          <w:rFonts w:ascii="Times New Roman" w:hAnsi="Times New Roman"/>
        </w:rPr>
        <w:t xml:space="preserve"> sufficiency of the</w:t>
      </w:r>
      <w:r w:rsidR="00D37D9C">
        <w:rPr>
          <w:rFonts w:ascii="Times New Roman" w:hAnsi="Times New Roman"/>
        </w:rPr>
        <w:t xml:space="preserve"> Forest Service’s characterization of its aggregate analysis in the cumulative effects on lynx section of the EA.</w:t>
      </w:r>
      <w:r w:rsidR="0024282E">
        <w:rPr>
          <w:rFonts w:ascii="Times New Roman" w:hAnsi="Times New Roman"/>
        </w:rPr>
        <w:t xml:space="preserve"> </w:t>
      </w:r>
      <w:r w:rsidR="00EE32A2">
        <w:rPr>
          <w:rFonts w:ascii="Times New Roman" w:hAnsi="Times New Roman"/>
        </w:rPr>
        <w:t xml:space="preserve">Finally, this note </w:t>
      </w:r>
      <w:r w:rsidR="0095164D">
        <w:rPr>
          <w:rFonts w:ascii="Times New Roman" w:hAnsi="Times New Roman"/>
        </w:rPr>
        <w:t>will conclude</w:t>
      </w:r>
      <w:r w:rsidR="00EE32A2">
        <w:rPr>
          <w:rFonts w:ascii="Times New Roman" w:hAnsi="Times New Roman"/>
        </w:rPr>
        <w:t xml:space="preserve"> with a summary of the reasons the District Court erred, and why those errors will lead the 9th </w:t>
      </w:r>
      <w:r w:rsidR="0095164D">
        <w:rPr>
          <w:rFonts w:ascii="Times New Roman" w:hAnsi="Times New Roman"/>
        </w:rPr>
        <w:t>Circuit to deny the environmental</w:t>
      </w:r>
      <w:r w:rsidR="00EE32A2">
        <w:rPr>
          <w:rFonts w:ascii="Times New Roman" w:hAnsi="Times New Roman"/>
        </w:rPr>
        <w:t xml:space="preserve"> groups plea for</w:t>
      </w:r>
      <w:r w:rsidR="0095164D">
        <w:rPr>
          <w:rFonts w:ascii="Times New Roman" w:hAnsi="Times New Roman"/>
        </w:rPr>
        <w:t xml:space="preserve"> the court to impose</w:t>
      </w:r>
      <w:r w:rsidR="00EE32A2">
        <w:rPr>
          <w:rFonts w:ascii="Times New Roman" w:hAnsi="Times New Roman"/>
        </w:rPr>
        <w:t xml:space="preserve"> a permanent injunction</w:t>
      </w:r>
      <w:r w:rsidR="0095164D">
        <w:rPr>
          <w:rFonts w:ascii="Times New Roman" w:hAnsi="Times New Roman"/>
        </w:rPr>
        <w:t xml:space="preserve"> on the project</w:t>
      </w:r>
      <w:r w:rsidR="00EE32A2">
        <w:rPr>
          <w:rFonts w:ascii="Times New Roman" w:hAnsi="Times New Roman"/>
        </w:rPr>
        <w:t xml:space="preserve">. </w:t>
      </w:r>
      <w:r w:rsidR="00EE32A2">
        <w:rPr>
          <w:rFonts w:ascii="Times New Roman" w:hAnsi="Times New Roman"/>
        </w:rPr>
        <w:tab/>
        <w:t xml:space="preserve"> </w:t>
      </w:r>
    </w:p>
    <w:p w14:paraId="5DB15025" w14:textId="77777777" w:rsidR="00B102EF" w:rsidRDefault="00B102EF" w:rsidP="0095164D">
      <w:pPr>
        <w:spacing w:line="360" w:lineRule="auto"/>
        <w:jc w:val="center"/>
        <w:rPr>
          <w:rFonts w:ascii="Times New Roman" w:hAnsi="Times New Roman"/>
        </w:rPr>
      </w:pPr>
    </w:p>
    <w:p w14:paraId="32E99C30" w14:textId="77777777" w:rsidR="00DA2CC2" w:rsidRDefault="00EE32A2" w:rsidP="00DA2CC2">
      <w:pPr>
        <w:spacing w:line="360" w:lineRule="auto"/>
        <w:jc w:val="center"/>
        <w:rPr>
          <w:rFonts w:ascii="Times New Roman" w:hAnsi="Times New Roman"/>
        </w:rPr>
      </w:pPr>
      <w:r>
        <w:rPr>
          <w:rFonts w:ascii="Times New Roman" w:hAnsi="Times New Roman"/>
        </w:rPr>
        <w:t>II. BACKGROUND</w:t>
      </w:r>
    </w:p>
    <w:p w14:paraId="3187F2C7" w14:textId="4719AE5C" w:rsidR="00EE32A2" w:rsidRPr="00DA2CC2" w:rsidRDefault="00EE32A2" w:rsidP="00DA2CC2">
      <w:pPr>
        <w:spacing w:line="360" w:lineRule="auto"/>
        <w:rPr>
          <w:rFonts w:ascii="Times New Roman" w:hAnsi="Times New Roman"/>
        </w:rPr>
      </w:pPr>
      <w:r w:rsidRPr="00DA2CC2">
        <w:rPr>
          <w:rFonts w:cs="Times New Roman"/>
        </w:rPr>
        <w:t>A. The Colt Summit Project</w:t>
      </w:r>
    </w:p>
    <w:p w14:paraId="40EB5A94" w14:textId="77777777" w:rsidR="00B102EF" w:rsidRDefault="00EE32A2" w:rsidP="00D95695">
      <w:pPr>
        <w:pStyle w:val="Default"/>
        <w:spacing w:line="360" w:lineRule="auto"/>
        <w:rPr>
          <w:rFonts w:cs="Times New Roman"/>
        </w:rPr>
      </w:pPr>
      <w:r>
        <w:rPr>
          <w:rFonts w:cs="Times New Roman"/>
        </w:rPr>
        <w:tab/>
      </w:r>
    </w:p>
    <w:p w14:paraId="6E2B8DD2" w14:textId="1714DF89" w:rsidR="003A178F" w:rsidRDefault="00EE32A2" w:rsidP="00D95695">
      <w:pPr>
        <w:pStyle w:val="Default"/>
        <w:spacing w:line="360" w:lineRule="auto"/>
        <w:rPr>
          <w:rFonts w:cs="Times New Roman"/>
        </w:rPr>
      </w:pPr>
      <w:r>
        <w:rPr>
          <w:rFonts w:cs="Times New Roman"/>
        </w:rPr>
        <w:t>The Colt Summit Project was developed by the Seeley Lake District of the Lolo National Forest to (1) restore forest health by increasing species diversity and stand heterogeneity (which restores habitat for grizzly bears and other species), (2) restore grizzly bear, bull trout, and aquatic and riparian habitat on Colt Creek by retiring roads and rerouting the primary access, and (3) reduce hazardous fuels in the wildland-urban interface</w:t>
      </w:r>
      <w:r w:rsidR="004F2E78">
        <w:rPr>
          <w:rFonts w:cs="Times New Roman"/>
        </w:rPr>
        <w:t>.</w:t>
      </w:r>
      <w:r>
        <w:rPr>
          <w:rStyle w:val="FootnoteReference"/>
          <w:rFonts w:cs="Times New Roman"/>
        </w:rPr>
        <w:footnoteReference w:id="10"/>
      </w:r>
      <w:r>
        <w:rPr>
          <w:rFonts w:cs="Times New Roman"/>
        </w:rPr>
        <w:t xml:space="preserve"> The project is located approximately ten-miles north of Seeley Lake, Montan</w:t>
      </w:r>
      <w:r w:rsidR="003A178F">
        <w:rPr>
          <w:rFonts w:cs="Times New Roman"/>
        </w:rPr>
        <w:t>a; and the</w:t>
      </w:r>
      <w:r>
        <w:rPr>
          <w:rFonts w:cs="Times New Roman"/>
        </w:rPr>
        <w:t xml:space="preserve"> vegetation treatment area straddles</w:t>
      </w:r>
      <w:r w:rsidR="00BF7B1D">
        <w:rPr>
          <w:rFonts w:cs="Times New Roman"/>
        </w:rPr>
        <w:t xml:space="preserve"> Highway 83 in the Seeley-Swan wildland urban i</w:t>
      </w:r>
      <w:r>
        <w:rPr>
          <w:rFonts w:cs="Times New Roman"/>
        </w:rPr>
        <w:t>nterface.</w:t>
      </w:r>
      <w:r>
        <w:rPr>
          <w:rStyle w:val="FootnoteReference"/>
          <w:rFonts w:cs="Times New Roman"/>
        </w:rPr>
        <w:t xml:space="preserve"> </w:t>
      </w:r>
      <w:r>
        <w:rPr>
          <w:rStyle w:val="FootnoteReference"/>
          <w:rFonts w:cs="Times New Roman"/>
        </w:rPr>
        <w:footnoteReference w:id="11"/>
      </w:r>
      <w:r>
        <w:rPr>
          <w:rStyle w:val="FootnoteReference"/>
          <w:rFonts w:cs="Times New Roman"/>
        </w:rPr>
        <w:t xml:space="preserve"> </w:t>
      </w:r>
      <w:r>
        <w:rPr>
          <w:rFonts w:cs="Times New Roman"/>
        </w:rPr>
        <w:t>It was developed in concert with the Southwest Crown of th</w:t>
      </w:r>
      <w:r w:rsidR="003E32FC">
        <w:rPr>
          <w:rFonts w:cs="Times New Roman"/>
        </w:rPr>
        <w:t>e Continent Collaboration</w:t>
      </w:r>
      <w:r>
        <w:rPr>
          <w:rFonts w:cs="Times New Roman"/>
        </w:rPr>
        <w:t>, whose 2010 proposal to restore forested lands and create rural jobs in Montana won significant funding for the next decade from a new federal program, the Collaborative Forest Landscape Restoration Program, of which the Colt Summit Project is a part.</w:t>
      </w:r>
      <w:r>
        <w:rPr>
          <w:rStyle w:val="FootnoteReference"/>
          <w:rFonts w:cs="Times New Roman"/>
        </w:rPr>
        <w:footnoteReference w:id="12"/>
      </w:r>
      <w:r>
        <w:rPr>
          <w:rFonts w:cs="Times New Roman"/>
        </w:rPr>
        <w:t xml:space="preserve"> The project garnered additional support from the Montana Fish Wildlife and Parks and United States Fish and Wildlife Service; agencies responsible for managing the recovery of grizzly bear, Canada lynx, and other wildlife in the project area.”</w:t>
      </w:r>
      <w:r>
        <w:rPr>
          <w:rStyle w:val="FootnoteReference"/>
          <w:rFonts w:cs="Times New Roman"/>
        </w:rPr>
        <w:footnoteReference w:id="13"/>
      </w:r>
      <w:r>
        <w:rPr>
          <w:rFonts w:cs="Times New Roman"/>
        </w:rPr>
        <w:t xml:space="preserve"> </w:t>
      </w:r>
    </w:p>
    <w:p w14:paraId="3EEBF7A5" w14:textId="77777777" w:rsidR="00DA2CC2" w:rsidRDefault="003A178F" w:rsidP="00DA2CC2">
      <w:pPr>
        <w:pStyle w:val="Default"/>
        <w:spacing w:line="360" w:lineRule="auto"/>
        <w:rPr>
          <w:rFonts w:cs="Times New Roman"/>
        </w:rPr>
      </w:pPr>
      <w:r>
        <w:rPr>
          <w:rFonts w:cs="Times New Roman"/>
        </w:rPr>
        <w:tab/>
      </w:r>
      <w:r w:rsidR="00EE32A2">
        <w:rPr>
          <w:rFonts w:cs="Times New Roman"/>
        </w:rPr>
        <w:t>After making minor revision in response to public comments, the Lolo National Forest Supervisor signed a Decision Notice and Finding of No Significant Impact (FONSI) for the Colt Summit project in March of 2011.</w:t>
      </w:r>
      <w:r w:rsidR="00EE32A2">
        <w:rPr>
          <w:rStyle w:val="FootnoteReference"/>
          <w:rFonts w:cs="Times New Roman"/>
        </w:rPr>
        <w:footnoteReference w:id="14"/>
      </w:r>
      <w:r w:rsidR="003E32FC">
        <w:rPr>
          <w:rFonts w:cs="Times New Roman"/>
        </w:rPr>
        <w:t xml:space="preserve"> One</w:t>
      </w:r>
      <w:r w:rsidR="00EE32A2">
        <w:rPr>
          <w:rFonts w:cs="Times New Roman"/>
        </w:rPr>
        <w:t xml:space="preserve"> month after the decision, the conservation groups timely raised administrative appeals.</w:t>
      </w:r>
      <w:r w:rsidR="00EE32A2">
        <w:rPr>
          <w:rStyle w:val="FootnoteReference"/>
          <w:rFonts w:cs="Times New Roman"/>
        </w:rPr>
        <w:footnoteReference w:id="15"/>
      </w:r>
      <w:r w:rsidR="0082004E">
        <w:rPr>
          <w:rFonts w:cs="Times New Roman"/>
        </w:rPr>
        <w:t xml:space="preserve"> After reviewing</w:t>
      </w:r>
      <w:r w:rsidR="00EE32A2">
        <w:rPr>
          <w:rFonts w:cs="Times New Roman"/>
        </w:rPr>
        <w:t xml:space="preserve"> the appeals, the Forest Service’s Northern Region Appeal Deciding Officer (ADO) recommended that the original decision be affirmed.</w:t>
      </w:r>
      <w:r w:rsidR="00EE32A2">
        <w:rPr>
          <w:rStyle w:val="FootnoteReference"/>
          <w:rFonts w:cs="Times New Roman"/>
        </w:rPr>
        <w:footnoteReference w:id="16"/>
      </w:r>
      <w:r w:rsidR="00EE32A2">
        <w:rPr>
          <w:rFonts w:cs="Times New Roman"/>
        </w:rPr>
        <w:t xml:space="preserve"> Shortly thereafter, the Lolo National Forest Supervisor issued a second Decision Notice and Finding of No Significant Impact for the project affirming her original decision.</w:t>
      </w:r>
      <w:r w:rsidR="00EE32A2">
        <w:rPr>
          <w:rStyle w:val="FootnoteReference"/>
          <w:rFonts w:cs="Times New Roman"/>
        </w:rPr>
        <w:footnoteReference w:id="17"/>
      </w:r>
      <w:r>
        <w:rPr>
          <w:rFonts w:cs="Times New Roman"/>
        </w:rPr>
        <w:t xml:space="preserve"> Three days later, t</w:t>
      </w:r>
      <w:r w:rsidR="00EE32A2">
        <w:rPr>
          <w:rFonts w:cs="Times New Roman"/>
        </w:rPr>
        <w:t>he conservation groups filed a complaint in</w:t>
      </w:r>
      <w:r w:rsidR="001F5849">
        <w:rPr>
          <w:rFonts w:cs="Times New Roman"/>
        </w:rPr>
        <w:t xml:space="preserve"> the</w:t>
      </w:r>
      <w:r w:rsidR="00EE32A2">
        <w:rPr>
          <w:rFonts w:cs="Times New Roman"/>
        </w:rPr>
        <w:t xml:space="preserve"> Federal District Court</w:t>
      </w:r>
      <w:r w:rsidR="001F5849">
        <w:rPr>
          <w:rFonts w:cs="Times New Roman"/>
        </w:rPr>
        <w:t xml:space="preserve"> of Montana in Missoula</w:t>
      </w:r>
      <w:r w:rsidR="00EE32A2">
        <w:rPr>
          <w:rFonts w:cs="Times New Roman"/>
        </w:rPr>
        <w:t>.</w:t>
      </w:r>
      <w:r w:rsidR="00EE32A2">
        <w:rPr>
          <w:rStyle w:val="FootnoteReference"/>
          <w:rFonts w:cs="Times New Roman"/>
          <w:color w:val="1C1C1C"/>
        </w:rPr>
        <w:t xml:space="preserve"> </w:t>
      </w:r>
      <w:r w:rsidR="00EE32A2">
        <w:rPr>
          <w:rStyle w:val="FootnoteReference"/>
          <w:rFonts w:cs="Times New Roman"/>
          <w:color w:val="1C1C1C"/>
        </w:rPr>
        <w:footnoteReference w:id="18"/>
      </w:r>
    </w:p>
    <w:p w14:paraId="711DC202" w14:textId="77777777" w:rsidR="00DA2CC2" w:rsidRDefault="00DA2CC2" w:rsidP="00DA2CC2">
      <w:pPr>
        <w:pStyle w:val="Default"/>
        <w:spacing w:line="360" w:lineRule="auto"/>
        <w:rPr>
          <w:rFonts w:cs="Times New Roman"/>
        </w:rPr>
      </w:pPr>
    </w:p>
    <w:p w14:paraId="1AA49484" w14:textId="7D884DCE" w:rsidR="00EE32A2" w:rsidRPr="00DA2CC2" w:rsidRDefault="00EE32A2" w:rsidP="00DA2CC2">
      <w:pPr>
        <w:pStyle w:val="Default"/>
        <w:spacing w:line="360" w:lineRule="auto"/>
        <w:rPr>
          <w:rFonts w:cs="Times New Roman"/>
        </w:rPr>
      </w:pPr>
      <w:r w:rsidRPr="00DA2CC2">
        <w:rPr>
          <w:rFonts w:cs="Times New Roman"/>
        </w:rPr>
        <w:t xml:space="preserve">B. Legal Context </w:t>
      </w:r>
    </w:p>
    <w:p w14:paraId="1E328A4D" w14:textId="77777777" w:rsidR="00B102EF" w:rsidRDefault="00B102EF" w:rsidP="0095164D">
      <w:pPr>
        <w:widowControl w:val="0"/>
        <w:autoSpaceDE w:val="0"/>
        <w:autoSpaceDN w:val="0"/>
        <w:adjustRightInd w:val="0"/>
        <w:spacing w:line="360" w:lineRule="auto"/>
        <w:rPr>
          <w:rFonts w:ascii="Times New Roman" w:hAnsi="Times New Roman"/>
          <w:i/>
          <w:color w:val="1C1C1C"/>
        </w:rPr>
      </w:pPr>
    </w:p>
    <w:p w14:paraId="2051F484" w14:textId="1DA8AF67" w:rsidR="00EE32A2" w:rsidRPr="00DA2CC2" w:rsidRDefault="00DA2CC2" w:rsidP="0095164D">
      <w:pPr>
        <w:widowControl w:val="0"/>
        <w:autoSpaceDE w:val="0"/>
        <w:autoSpaceDN w:val="0"/>
        <w:adjustRightInd w:val="0"/>
        <w:spacing w:line="360" w:lineRule="auto"/>
        <w:rPr>
          <w:rFonts w:ascii="Times New Roman" w:hAnsi="Times New Roman"/>
          <w:i/>
          <w:color w:val="1C1C1C"/>
        </w:rPr>
      </w:pPr>
      <w:r>
        <w:rPr>
          <w:rFonts w:ascii="Times New Roman" w:hAnsi="Times New Roman"/>
          <w:color w:val="1C1C1C"/>
        </w:rPr>
        <w:tab/>
      </w:r>
      <w:r w:rsidR="00EE32A2" w:rsidRPr="00DA2CC2">
        <w:rPr>
          <w:rFonts w:ascii="Times New Roman" w:hAnsi="Times New Roman"/>
          <w:i/>
          <w:color w:val="1C1C1C"/>
        </w:rPr>
        <w:t>1. The Endangered Species Act</w:t>
      </w:r>
    </w:p>
    <w:p w14:paraId="13F08045" w14:textId="77777777" w:rsidR="00B102EF" w:rsidRDefault="00B102EF" w:rsidP="00D95695">
      <w:pPr>
        <w:widowControl w:val="0"/>
        <w:autoSpaceDE w:val="0"/>
        <w:autoSpaceDN w:val="0"/>
        <w:adjustRightInd w:val="0"/>
        <w:spacing w:line="360" w:lineRule="auto"/>
        <w:rPr>
          <w:rFonts w:ascii="Times New Roman" w:hAnsi="Times New Roman"/>
          <w:color w:val="1C1C1C"/>
        </w:rPr>
      </w:pPr>
    </w:p>
    <w:p w14:paraId="031E2786" w14:textId="2C88CABC" w:rsidR="00EE32A2" w:rsidRDefault="003A178F" w:rsidP="00D95695">
      <w:pPr>
        <w:widowControl w:val="0"/>
        <w:autoSpaceDE w:val="0"/>
        <w:autoSpaceDN w:val="0"/>
        <w:adjustRightInd w:val="0"/>
        <w:spacing w:line="360" w:lineRule="auto"/>
        <w:rPr>
          <w:rFonts w:ascii="Times New Roman" w:hAnsi="Times New Roman"/>
          <w:color w:val="1C1C1C"/>
        </w:rPr>
      </w:pPr>
      <w:r>
        <w:rPr>
          <w:rFonts w:ascii="Times New Roman" w:hAnsi="Times New Roman"/>
          <w:color w:val="1C1C1C"/>
        </w:rPr>
        <w:tab/>
      </w:r>
      <w:r w:rsidR="00C75534">
        <w:rPr>
          <w:rFonts w:ascii="Times New Roman" w:hAnsi="Times New Roman"/>
          <w:color w:val="1C1C1C"/>
        </w:rPr>
        <w:t>The court imposed an injunction on the grounds that the USFS failed to sufficiently perform a procedural NEPA review of the effects of</w:t>
      </w:r>
      <w:r w:rsidR="001F5849">
        <w:rPr>
          <w:rFonts w:ascii="Times New Roman" w:hAnsi="Times New Roman"/>
          <w:color w:val="1C1C1C"/>
        </w:rPr>
        <w:t xml:space="preserve"> the Colt Summit Project</w:t>
      </w:r>
      <w:r w:rsidR="00C75534">
        <w:rPr>
          <w:rFonts w:ascii="Times New Roman" w:hAnsi="Times New Roman"/>
          <w:color w:val="1C1C1C"/>
        </w:rPr>
        <w:t xml:space="preserve"> on lynx.</w:t>
      </w:r>
      <w:r w:rsidR="004F2E78">
        <w:rPr>
          <w:rStyle w:val="FootnoteReference"/>
          <w:rFonts w:ascii="Times New Roman" w:hAnsi="Times New Roman"/>
          <w:color w:val="1C1C1C"/>
        </w:rPr>
        <w:footnoteReference w:id="19"/>
      </w:r>
      <w:r w:rsidR="00C75534">
        <w:rPr>
          <w:rFonts w:ascii="Times New Roman" w:hAnsi="Times New Roman"/>
          <w:color w:val="1C1C1C"/>
        </w:rPr>
        <w:t xml:space="preserve"> However, the Forest Servi</w:t>
      </w:r>
      <w:r w:rsidR="00D95695">
        <w:rPr>
          <w:rFonts w:ascii="Times New Roman" w:hAnsi="Times New Roman"/>
          <w:color w:val="1C1C1C"/>
        </w:rPr>
        <w:t>ce’s procedural duty under NEPA</w:t>
      </w:r>
      <w:r w:rsidR="00C75534">
        <w:rPr>
          <w:rFonts w:ascii="Times New Roman" w:hAnsi="Times New Roman"/>
          <w:color w:val="1C1C1C"/>
        </w:rPr>
        <w:t xml:space="preserve"> is triggered by substantive protection </w:t>
      </w:r>
      <w:r w:rsidR="00970559">
        <w:rPr>
          <w:rFonts w:ascii="Times New Roman" w:hAnsi="Times New Roman"/>
          <w:color w:val="1C1C1C"/>
        </w:rPr>
        <w:t>given the lynx by the ESA.</w:t>
      </w:r>
      <w:r w:rsidR="004F2E78">
        <w:rPr>
          <w:rStyle w:val="FootnoteReference"/>
          <w:rFonts w:ascii="Times New Roman" w:hAnsi="Times New Roman"/>
          <w:color w:val="1C1C1C"/>
        </w:rPr>
        <w:footnoteReference w:id="20"/>
      </w:r>
      <w:r w:rsidR="00970559">
        <w:rPr>
          <w:rFonts w:ascii="Times New Roman" w:hAnsi="Times New Roman"/>
          <w:color w:val="1C1C1C"/>
        </w:rPr>
        <w:t xml:space="preserve"> </w:t>
      </w:r>
      <w:r>
        <w:rPr>
          <w:rFonts w:ascii="Times New Roman" w:hAnsi="Times New Roman"/>
          <w:color w:val="1C1C1C"/>
        </w:rPr>
        <w:t xml:space="preserve">The ESA achieves </w:t>
      </w:r>
      <w:r w:rsidR="00EE32A2">
        <w:rPr>
          <w:rFonts w:ascii="Times New Roman" w:hAnsi="Times New Roman"/>
          <w:color w:val="1C1C1C"/>
        </w:rPr>
        <w:t>conservation</w:t>
      </w:r>
      <w:r>
        <w:rPr>
          <w:rFonts w:ascii="Times New Roman" w:hAnsi="Times New Roman"/>
          <w:color w:val="1C1C1C"/>
        </w:rPr>
        <w:t xml:space="preserve"> for species like the lynx</w:t>
      </w:r>
      <w:r w:rsidR="00EE32A2">
        <w:rPr>
          <w:rFonts w:ascii="Times New Roman" w:hAnsi="Times New Roman"/>
          <w:color w:val="1C1C1C"/>
        </w:rPr>
        <w:t xml:space="preserve"> in two relevant ways. First, section 4 of the Act enables the Secretary of the Interior (Secretary) to list a species due to the destruction, modification, or curtailment of its habitat or range.</w:t>
      </w:r>
      <w:r w:rsidR="00EE32A2">
        <w:rPr>
          <w:rStyle w:val="FootnoteReference"/>
          <w:rFonts w:ascii="Times New Roman" w:hAnsi="Times New Roman"/>
          <w:color w:val="1C1C1C"/>
        </w:rPr>
        <w:footnoteReference w:id="21"/>
      </w:r>
      <w:r w:rsidR="00EE32A2">
        <w:rPr>
          <w:rFonts w:ascii="Times New Roman" w:hAnsi="Times New Roman"/>
          <w:color w:val="1C1C1C"/>
        </w:rPr>
        <w:t xml:space="preserve"> Once listed, the Secretary can then issue regulations to conserve the species; and designate any habitat that is considered critical to the species survival.</w:t>
      </w:r>
      <w:r w:rsidR="00EE32A2">
        <w:rPr>
          <w:rStyle w:val="FootnoteReference"/>
          <w:rFonts w:ascii="Times New Roman" w:hAnsi="Times New Roman"/>
          <w:color w:val="1C1C1C"/>
        </w:rPr>
        <w:footnoteReference w:id="22"/>
      </w:r>
      <w:r w:rsidR="00EE32A2">
        <w:rPr>
          <w:rFonts w:ascii="Times New Roman" w:hAnsi="Times New Roman"/>
          <w:color w:val="1C1C1C"/>
        </w:rPr>
        <w:t xml:space="preserve"> To implement the critical habitat designation, the Secretary must develop recovery plans for the conservation and survival of the listed species.</w:t>
      </w:r>
      <w:r w:rsidR="00EE32A2">
        <w:rPr>
          <w:rStyle w:val="FootnoteReference"/>
          <w:rFonts w:ascii="Times New Roman" w:hAnsi="Times New Roman"/>
          <w:color w:val="1C1C1C"/>
        </w:rPr>
        <w:footnoteReference w:id="23"/>
      </w:r>
      <w:r w:rsidR="00EE32A2">
        <w:rPr>
          <w:rFonts w:ascii="Times New Roman" w:hAnsi="Times New Roman"/>
          <w:color w:val="1C1C1C"/>
        </w:rPr>
        <w:t xml:space="preserve"> The recovery plan must incorporate a description of geographically precise management actions needed to assure the conservation and survival of the species.”</w:t>
      </w:r>
      <w:r w:rsidR="00EE32A2">
        <w:rPr>
          <w:rStyle w:val="FootnoteReference"/>
          <w:rFonts w:ascii="Times New Roman" w:hAnsi="Times New Roman"/>
          <w:color w:val="1C1C1C"/>
        </w:rPr>
        <w:footnoteReference w:id="24"/>
      </w:r>
      <w:r w:rsidR="00EE32A2">
        <w:rPr>
          <w:rFonts w:ascii="Times New Roman" w:hAnsi="Times New Roman"/>
          <w:color w:val="1C1C1C"/>
        </w:rPr>
        <w:t xml:space="preserve"> </w:t>
      </w:r>
    </w:p>
    <w:p w14:paraId="36DF02AB" w14:textId="4F57B5D9" w:rsidR="00EE32A2" w:rsidRDefault="00EE32A2" w:rsidP="00D95695">
      <w:pPr>
        <w:widowControl w:val="0"/>
        <w:autoSpaceDE w:val="0"/>
        <w:autoSpaceDN w:val="0"/>
        <w:adjustRightInd w:val="0"/>
        <w:spacing w:line="360" w:lineRule="auto"/>
        <w:rPr>
          <w:rFonts w:ascii="Times New Roman" w:hAnsi="Times New Roman"/>
          <w:color w:val="1C1C1C"/>
        </w:rPr>
      </w:pPr>
      <w:r>
        <w:rPr>
          <w:rFonts w:ascii="Times New Roman" w:hAnsi="Times New Roman"/>
          <w:color w:val="1C1C1C"/>
        </w:rPr>
        <w:tab/>
        <w:t>The Canada Lynx is listed as threatened</w:t>
      </w:r>
      <w:r>
        <w:rPr>
          <w:rStyle w:val="FootnoteReference"/>
          <w:rFonts w:ascii="Times New Roman" w:hAnsi="Times New Roman"/>
          <w:color w:val="1C1C1C"/>
        </w:rPr>
        <w:footnoteReference w:id="25"/>
      </w:r>
      <w:r>
        <w:rPr>
          <w:rFonts w:ascii="Times New Roman" w:hAnsi="Times New Roman"/>
          <w:color w:val="1C1C1C"/>
        </w:rPr>
        <w:t xml:space="preserve"> and critical habitat has been designated to aid</w:t>
      </w:r>
      <w:r w:rsidR="003A178F">
        <w:rPr>
          <w:rFonts w:ascii="Times New Roman" w:hAnsi="Times New Roman"/>
          <w:color w:val="1C1C1C"/>
        </w:rPr>
        <w:t xml:space="preserve"> in its</w:t>
      </w:r>
      <w:r>
        <w:rPr>
          <w:rFonts w:ascii="Times New Roman" w:hAnsi="Times New Roman"/>
          <w:color w:val="1C1C1C"/>
        </w:rPr>
        <w:t xml:space="preserve"> recovery.</w:t>
      </w:r>
      <w:r>
        <w:rPr>
          <w:rStyle w:val="FootnoteReference"/>
          <w:rFonts w:ascii="Times New Roman" w:hAnsi="Times New Roman"/>
          <w:color w:val="1C1C1C"/>
        </w:rPr>
        <w:footnoteReference w:id="26"/>
      </w:r>
      <w:r>
        <w:rPr>
          <w:rFonts w:ascii="Times New Roman" w:hAnsi="Times New Roman"/>
          <w:color w:val="1C1C1C"/>
        </w:rPr>
        <w:t xml:space="preserve"> Federal wildlife biologists use the Lynx Conservation and Assessment Strategy (“LCAS”) to assess </w:t>
      </w:r>
      <w:r w:rsidR="0082004E">
        <w:rPr>
          <w:rFonts w:ascii="Times New Roman" w:hAnsi="Times New Roman"/>
          <w:color w:val="1C1C1C"/>
        </w:rPr>
        <w:t xml:space="preserve">the viability of </w:t>
      </w:r>
      <w:r>
        <w:rPr>
          <w:rFonts w:ascii="Times New Roman" w:hAnsi="Times New Roman"/>
          <w:color w:val="1C1C1C"/>
        </w:rPr>
        <w:t>conservation measures for lynx on federal lands.</w:t>
      </w:r>
      <w:r>
        <w:rPr>
          <w:rStyle w:val="FootnoteReference"/>
          <w:rFonts w:ascii="Times New Roman" w:hAnsi="Times New Roman"/>
          <w:color w:val="1C1C1C"/>
        </w:rPr>
        <w:footnoteReference w:id="27"/>
      </w:r>
      <w:r>
        <w:rPr>
          <w:rFonts w:ascii="Times New Roman" w:hAnsi="Times New Roman"/>
          <w:color w:val="1C1C1C"/>
        </w:rPr>
        <w:t xml:space="preserve"> The Forest Service’s Northern Rockies Lynx Amendment (“Lynx Amendment”) uses the LCAS to guide its actions in critical lynx habitat by incorporating the Lynx Amendment in its Land and Resource Management Plans.</w:t>
      </w:r>
      <w:r>
        <w:rPr>
          <w:rStyle w:val="FootnoteReference"/>
          <w:rFonts w:ascii="Times New Roman" w:hAnsi="Times New Roman"/>
          <w:color w:val="1C1C1C"/>
        </w:rPr>
        <w:footnoteReference w:id="28"/>
      </w:r>
      <w:r>
        <w:rPr>
          <w:rFonts w:ascii="Times New Roman" w:hAnsi="Times New Roman"/>
          <w:color w:val="1C1C1C"/>
        </w:rPr>
        <w:t xml:space="preserve"> The Colt Summit Project was specifically designed to conform to the Lynx Amendment.</w:t>
      </w:r>
      <w:r>
        <w:rPr>
          <w:rStyle w:val="FootnoteReference"/>
          <w:rFonts w:ascii="Times New Roman" w:hAnsi="Times New Roman"/>
          <w:color w:val="1C1C1C"/>
        </w:rPr>
        <w:footnoteReference w:id="29"/>
      </w:r>
    </w:p>
    <w:p w14:paraId="24761C70" w14:textId="684A78B1" w:rsidR="00EE32A2" w:rsidRDefault="00EE32A2" w:rsidP="00D95695">
      <w:pPr>
        <w:widowControl w:val="0"/>
        <w:autoSpaceDE w:val="0"/>
        <w:autoSpaceDN w:val="0"/>
        <w:adjustRightInd w:val="0"/>
        <w:spacing w:line="360" w:lineRule="auto"/>
        <w:rPr>
          <w:rFonts w:ascii="Times New Roman" w:hAnsi="Times New Roman"/>
          <w:color w:val="1C1C1C"/>
        </w:rPr>
      </w:pPr>
      <w:r>
        <w:rPr>
          <w:rFonts w:ascii="Times New Roman" w:hAnsi="Times New Roman"/>
          <w:color w:val="1C1C1C"/>
        </w:rPr>
        <w:tab/>
        <w:t>Second, section 7 of the ESA requires “interagency cooperation,”</w:t>
      </w:r>
      <w:r>
        <w:rPr>
          <w:rStyle w:val="FootnoteReference"/>
          <w:rFonts w:ascii="Times New Roman" w:hAnsi="Times New Roman"/>
          <w:color w:val="1C1C1C"/>
        </w:rPr>
        <w:footnoteReference w:id="30"/>
      </w:r>
      <w:r>
        <w:rPr>
          <w:rFonts w:ascii="Times New Roman" w:hAnsi="Times New Roman"/>
          <w:color w:val="1C1C1C"/>
        </w:rPr>
        <w:t xml:space="preserve"> to ensure that proposed actions are not likely to jeopardize the continued existence of any threatened or endangered species, or result in the destruction of habitat that is critical for a species’ continued existence.</w:t>
      </w:r>
      <w:r>
        <w:rPr>
          <w:rStyle w:val="FootnoteReference"/>
          <w:rFonts w:ascii="Times New Roman" w:hAnsi="Times New Roman"/>
          <w:color w:val="1C1C1C"/>
        </w:rPr>
        <w:footnoteReference w:id="31"/>
      </w:r>
      <w:r>
        <w:rPr>
          <w:rFonts w:ascii="Times New Roman" w:hAnsi="Times New Roman"/>
          <w:color w:val="1C1C1C"/>
        </w:rPr>
        <w:t xml:space="preserve"> The Forest Service satisfies this requirement by consulting with the Secretary when the action has the potential to affect a listed species.</w:t>
      </w:r>
      <w:r>
        <w:rPr>
          <w:rStyle w:val="FootnoteReference"/>
          <w:rFonts w:ascii="Times New Roman" w:hAnsi="Times New Roman"/>
          <w:color w:val="1C1C1C"/>
        </w:rPr>
        <w:footnoteReference w:id="32"/>
      </w:r>
      <w:r>
        <w:rPr>
          <w:rFonts w:ascii="Times New Roman" w:hAnsi="Times New Roman"/>
          <w:color w:val="1C1C1C"/>
        </w:rPr>
        <w:t xml:space="preserve"> If the Secretary determines such species may be affected by the proposed action, the agency must conduct a biological assessment to evaluate the likelihood it will be affected.</w:t>
      </w:r>
      <w:r>
        <w:rPr>
          <w:rStyle w:val="FootnoteReference"/>
          <w:rFonts w:ascii="Times New Roman" w:hAnsi="Times New Roman"/>
          <w:color w:val="1C1C1C"/>
        </w:rPr>
        <w:footnoteReference w:id="33"/>
      </w:r>
      <w:r>
        <w:rPr>
          <w:rFonts w:ascii="Times New Roman" w:hAnsi="Times New Roman"/>
          <w:color w:val="1C1C1C"/>
        </w:rPr>
        <w:t xml:space="preserve"> The</w:t>
      </w:r>
      <w:r w:rsidR="0082004E">
        <w:rPr>
          <w:rFonts w:ascii="Times New Roman" w:hAnsi="Times New Roman"/>
          <w:color w:val="1C1C1C"/>
        </w:rPr>
        <w:t xml:space="preserve"> biological</w:t>
      </w:r>
      <w:r>
        <w:rPr>
          <w:rFonts w:ascii="Times New Roman" w:hAnsi="Times New Roman"/>
          <w:color w:val="1C1C1C"/>
        </w:rPr>
        <w:t xml:space="preserve"> assessment can then be incorporated </w:t>
      </w:r>
      <w:r w:rsidR="0082004E">
        <w:rPr>
          <w:rFonts w:ascii="Times New Roman" w:hAnsi="Times New Roman"/>
          <w:color w:val="1C1C1C"/>
        </w:rPr>
        <w:t>into the agency’s EA to comply</w:t>
      </w:r>
      <w:r>
        <w:rPr>
          <w:rFonts w:ascii="Times New Roman" w:hAnsi="Times New Roman"/>
          <w:color w:val="1C1C1C"/>
        </w:rPr>
        <w:t xml:space="preserve"> with section 102 of NEPA.</w:t>
      </w:r>
      <w:r>
        <w:rPr>
          <w:rStyle w:val="FootnoteReference"/>
          <w:rFonts w:ascii="Times New Roman" w:hAnsi="Times New Roman"/>
          <w:color w:val="1C1C1C"/>
        </w:rPr>
        <w:footnoteReference w:id="34"/>
      </w:r>
      <w:r>
        <w:rPr>
          <w:rFonts w:ascii="Times New Roman" w:hAnsi="Times New Roman"/>
          <w:color w:val="1C1C1C"/>
        </w:rPr>
        <w:t xml:space="preserve">  </w:t>
      </w:r>
    </w:p>
    <w:p w14:paraId="622DB5A6" w14:textId="77777777" w:rsidR="00EE32A2" w:rsidRDefault="00EE32A2" w:rsidP="00D95695">
      <w:pPr>
        <w:widowControl w:val="0"/>
        <w:autoSpaceDE w:val="0"/>
        <w:autoSpaceDN w:val="0"/>
        <w:adjustRightInd w:val="0"/>
        <w:spacing w:line="360" w:lineRule="auto"/>
        <w:ind w:firstLine="288"/>
        <w:rPr>
          <w:rFonts w:ascii="Times New Roman" w:hAnsi="Times New Roman"/>
          <w:color w:val="1C1C1C"/>
        </w:rPr>
      </w:pPr>
    </w:p>
    <w:p w14:paraId="73AD0C2B" w14:textId="096D71F2" w:rsidR="00EE32A2" w:rsidRPr="00DA2CC2" w:rsidRDefault="00DA2CC2" w:rsidP="00D95695">
      <w:pPr>
        <w:widowControl w:val="0"/>
        <w:autoSpaceDE w:val="0"/>
        <w:autoSpaceDN w:val="0"/>
        <w:adjustRightInd w:val="0"/>
        <w:spacing w:line="360" w:lineRule="auto"/>
        <w:rPr>
          <w:rFonts w:ascii="Times New Roman" w:hAnsi="Times New Roman"/>
          <w:i/>
          <w:color w:val="1C1C1C"/>
        </w:rPr>
      </w:pPr>
      <w:r>
        <w:rPr>
          <w:rFonts w:ascii="Times New Roman" w:hAnsi="Times New Roman"/>
          <w:color w:val="1C1C1C"/>
        </w:rPr>
        <w:tab/>
      </w:r>
      <w:r w:rsidR="00EE32A2" w:rsidRPr="00DA2CC2">
        <w:rPr>
          <w:rFonts w:ascii="Times New Roman" w:hAnsi="Times New Roman"/>
          <w:i/>
          <w:color w:val="1C1C1C"/>
        </w:rPr>
        <w:t>2. The National Environmental Policy Act</w:t>
      </w:r>
    </w:p>
    <w:p w14:paraId="3F7A510A" w14:textId="6B5DD2D0" w:rsidR="00A54709" w:rsidRPr="00A54709" w:rsidRDefault="00DA2CC2" w:rsidP="00D95695">
      <w:pPr>
        <w:widowControl w:val="0"/>
        <w:autoSpaceDE w:val="0"/>
        <w:autoSpaceDN w:val="0"/>
        <w:adjustRightInd w:val="0"/>
        <w:spacing w:line="360" w:lineRule="auto"/>
        <w:rPr>
          <w:rFonts w:ascii="Times New Roman" w:hAnsi="Times New Roman"/>
          <w:color w:val="1C1C1C"/>
        </w:rPr>
      </w:pPr>
      <w:r>
        <w:rPr>
          <w:rFonts w:ascii="Times New Roman" w:hAnsi="Times New Roman"/>
          <w:color w:val="1C1C1C"/>
        </w:rPr>
        <w:tab/>
      </w:r>
    </w:p>
    <w:p w14:paraId="50B8B8EB" w14:textId="0B627DCE" w:rsidR="00EE32A2" w:rsidRDefault="00EE32A2" w:rsidP="00D95695">
      <w:pPr>
        <w:widowControl w:val="0"/>
        <w:autoSpaceDE w:val="0"/>
        <w:autoSpaceDN w:val="0"/>
        <w:adjustRightInd w:val="0"/>
        <w:spacing w:line="360" w:lineRule="auto"/>
        <w:rPr>
          <w:rFonts w:ascii="Times New Roman" w:hAnsi="Times New Roman"/>
          <w:color w:val="1C1C1C"/>
        </w:rPr>
      </w:pPr>
      <w:r>
        <w:rPr>
          <w:rFonts w:ascii="Times New Roman" w:hAnsi="Times New Roman"/>
          <w:color w:val="1C1C1C"/>
        </w:rPr>
        <w:tab/>
        <w:t>NEPA requi</w:t>
      </w:r>
      <w:r w:rsidR="0082004E">
        <w:rPr>
          <w:rFonts w:ascii="Times New Roman" w:hAnsi="Times New Roman"/>
          <w:color w:val="1C1C1C"/>
        </w:rPr>
        <w:t>res that federal agencies give environmental factors</w:t>
      </w:r>
      <w:r>
        <w:rPr>
          <w:rFonts w:ascii="Times New Roman" w:hAnsi="Times New Roman"/>
          <w:color w:val="1C1C1C"/>
        </w:rPr>
        <w:t xml:space="preserve"> appropriate </w:t>
      </w:r>
      <w:r w:rsidR="0082004E">
        <w:rPr>
          <w:rFonts w:ascii="Times New Roman" w:hAnsi="Times New Roman"/>
          <w:color w:val="1C1C1C"/>
        </w:rPr>
        <w:t xml:space="preserve">consideration </w:t>
      </w:r>
      <w:r>
        <w:rPr>
          <w:rFonts w:ascii="Times New Roman" w:hAnsi="Times New Roman"/>
          <w:color w:val="1C1C1C"/>
        </w:rPr>
        <w:t>by forcing them to comply with specific procedures before undertaking major actions</w:t>
      </w:r>
      <w:r w:rsidR="0082004E">
        <w:rPr>
          <w:rFonts w:ascii="Times New Roman" w:hAnsi="Times New Roman"/>
          <w:color w:val="1C1C1C"/>
        </w:rPr>
        <w:t xml:space="preserve"> that have the potential to significantly impact the human environment</w:t>
      </w:r>
      <w:r>
        <w:rPr>
          <w:rFonts w:ascii="Times New Roman" w:hAnsi="Times New Roman"/>
          <w:color w:val="1C1C1C"/>
        </w:rPr>
        <w:t>.</w:t>
      </w:r>
      <w:r>
        <w:rPr>
          <w:rStyle w:val="FootnoteReference"/>
          <w:rFonts w:ascii="Times New Roman" w:hAnsi="Times New Roman"/>
          <w:color w:val="1C1C1C"/>
        </w:rPr>
        <w:footnoteReference w:id="35"/>
      </w:r>
      <w:r>
        <w:rPr>
          <w:rFonts w:ascii="Times New Roman" w:hAnsi="Times New Roman"/>
          <w:color w:val="1C1C1C"/>
        </w:rPr>
        <w:t xml:space="preserve"> To determine whether an action </w:t>
      </w:r>
      <w:r w:rsidR="0082004E">
        <w:rPr>
          <w:rFonts w:ascii="Times New Roman" w:hAnsi="Times New Roman"/>
          <w:color w:val="1C1C1C"/>
        </w:rPr>
        <w:t xml:space="preserve">is </w:t>
      </w:r>
      <w:r>
        <w:rPr>
          <w:rFonts w:ascii="Times New Roman" w:hAnsi="Times New Roman"/>
          <w:color w:val="1C1C1C"/>
        </w:rPr>
        <w:t>signi</w:t>
      </w:r>
      <w:r w:rsidR="0082004E">
        <w:rPr>
          <w:rFonts w:ascii="Times New Roman" w:hAnsi="Times New Roman"/>
          <w:color w:val="1C1C1C"/>
        </w:rPr>
        <w:t>ficant</w:t>
      </w:r>
      <w:r>
        <w:rPr>
          <w:rFonts w:ascii="Times New Roman" w:hAnsi="Times New Roman"/>
          <w:color w:val="1C1C1C"/>
        </w:rPr>
        <w:t>, agencies often prepare an EA.</w:t>
      </w:r>
      <w:r>
        <w:rPr>
          <w:rStyle w:val="FootnoteReference"/>
          <w:rFonts w:ascii="Times New Roman" w:hAnsi="Times New Roman"/>
          <w:color w:val="1C1C1C"/>
        </w:rPr>
        <w:footnoteReference w:id="36"/>
      </w:r>
      <w:r>
        <w:rPr>
          <w:rFonts w:ascii="Times New Roman" w:hAnsi="Times New Roman"/>
          <w:color w:val="1C1C1C"/>
        </w:rPr>
        <w:t xml:space="preserve"> An EA is a “concise public document” that allows an agency to analyze the environmental impacts of the proposal</w:t>
      </w:r>
      <w:r w:rsidR="00675207">
        <w:rPr>
          <w:rFonts w:ascii="Times New Roman" w:hAnsi="Times New Roman"/>
          <w:color w:val="1C1C1C"/>
        </w:rPr>
        <w:t xml:space="preserve">, </w:t>
      </w:r>
      <w:r w:rsidR="00D95695">
        <w:rPr>
          <w:rFonts w:ascii="Times New Roman" w:hAnsi="Times New Roman"/>
          <w:color w:val="1C1C1C"/>
        </w:rPr>
        <w:t>the majority of which,</w:t>
      </w:r>
      <w:r>
        <w:rPr>
          <w:rFonts w:ascii="Times New Roman" w:hAnsi="Times New Roman"/>
          <w:color w:val="1C1C1C"/>
        </w:rPr>
        <w:t xml:space="preserve"> result in a FONSI.</w:t>
      </w:r>
      <w:r w:rsidR="00675207" w:rsidRPr="00675207">
        <w:rPr>
          <w:rStyle w:val="FootnoteReference"/>
          <w:rFonts w:ascii="Times New Roman" w:hAnsi="Times New Roman"/>
          <w:color w:val="1C1C1C"/>
        </w:rPr>
        <w:t xml:space="preserve"> </w:t>
      </w:r>
      <w:r w:rsidR="00675207">
        <w:rPr>
          <w:rStyle w:val="FootnoteReference"/>
          <w:rFonts w:ascii="Times New Roman" w:hAnsi="Times New Roman"/>
          <w:color w:val="1C1C1C"/>
        </w:rPr>
        <w:footnoteReference w:id="37"/>
      </w:r>
    </w:p>
    <w:p w14:paraId="599AED68" w14:textId="22CE0097" w:rsidR="00EE32A2" w:rsidRDefault="001A765D" w:rsidP="00D95695">
      <w:pPr>
        <w:widowControl w:val="0"/>
        <w:autoSpaceDE w:val="0"/>
        <w:autoSpaceDN w:val="0"/>
        <w:adjustRightInd w:val="0"/>
        <w:spacing w:line="360" w:lineRule="auto"/>
        <w:rPr>
          <w:rFonts w:ascii="Times New Roman" w:hAnsi="Times New Roman"/>
          <w:color w:val="1C1C1C"/>
        </w:rPr>
      </w:pPr>
      <w:r>
        <w:rPr>
          <w:rFonts w:ascii="Times New Roman" w:hAnsi="Times New Roman"/>
          <w:color w:val="1C1C1C"/>
        </w:rPr>
        <w:tab/>
        <w:t>Among other NEPA considerations</w:t>
      </w:r>
      <w:r w:rsidR="00EE32A2">
        <w:rPr>
          <w:rFonts w:ascii="Times New Roman" w:hAnsi="Times New Roman"/>
          <w:color w:val="1C1C1C"/>
        </w:rPr>
        <w:t>, an EA must includ</w:t>
      </w:r>
      <w:r>
        <w:rPr>
          <w:rFonts w:ascii="Times New Roman" w:hAnsi="Times New Roman"/>
          <w:color w:val="1C1C1C"/>
        </w:rPr>
        <w:t>e a cumulative effects analysis</w:t>
      </w:r>
      <w:r w:rsidR="00EE32A2">
        <w:rPr>
          <w:rFonts w:ascii="Times New Roman" w:hAnsi="Times New Roman"/>
          <w:color w:val="1C1C1C"/>
        </w:rPr>
        <w:t>.</w:t>
      </w:r>
      <w:r w:rsidR="00EE32A2">
        <w:rPr>
          <w:rStyle w:val="FootnoteReference"/>
          <w:rFonts w:ascii="Times New Roman" w:hAnsi="Times New Roman"/>
          <w:color w:val="1C1C1C"/>
        </w:rPr>
        <w:footnoteReference w:id="38"/>
      </w:r>
      <w:r w:rsidR="00EE32A2">
        <w:rPr>
          <w:rFonts w:ascii="Times New Roman" w:hAnsi="Times New Roman"/>
          <w:color w:val="1C1C1C"/>
        </w:rPr>
        <w:t xml:space="preserve"> Cumulative effects are defined as “the impact upon the environment which results from the incremental impact of the action when added to other past, present, and reasonably foreseeable future actions … [that] can result from individually minor but collectively significant actions taking place over a period of time.”</w:t>
      </w:r>
      <w:r w:rsidR="00EE32A2">
        <w:rPr>
          <w:rStyle w:val="FootnoteReference"/>
          <w:rFonts w:ascii="Times New Roman" w:hAnsi="Times New Roman"/>
          <w:color w:val="1C1C1C"/>
        </w:rPr>
        <w:footnoteReference w:id="39"/>
      </w:r>
      <w:r w:rsidR="00EE32A2">
        <w:rPr>
          <w:rFonts w:ascii="Times New Roman" w:hAnsi="Times New Roman"/>
          <w:color w:val="1C1C1C"/>
        </w:rPr>
        <w:t xml:space="preserve"> Effects include the cumulative “ecological” effects of an action.</w:t>
      </w:r>
      <w:r w:rsidR="00EE32A2">
        <w:rPr>
          <w:rStyle w:val="FootnoteReference"/>
          <w:rFonts w:ascii="Times New Roman" w:hAnsi="Times New Roman"/>
          <w:color w:val="1C1C1C"/>
        </w:rPr>
        <w:footnoteReference w:id="40"/>
      </w:r>
      <w:r w:rsidR="00EE32A2">
        <w:rPr>
          <w:rFonts w:ascii="Times New Roman" w:hAnsi="Times New Roman"/>
          <w:color w:val="1C1C1C"/>
        </w:rPr>
        <w:t xml:space="preserve"> An agency must, therefore, analyze the ecological effects of a proposed action in concert with other past actions that occurred within the proposed cumulative effects analysis area.</w:t>
      </w:r>
      <w:r w:rsidR="00EE32A2">
        <w:rPr>
          <w:rStyle w:val="FootnoteReference"/>
          <w:rFonts w:ascii="Times New Roman" w:hAnsi="Times New Roman"/>
          <w:color w:val="1C1C1C"/>
        </w:rPr>
        <w:footnoteReference w:id="41"/>
      </w:r>
      <w:r w:rsidR="00EE32A2">
        <w:rPr>
          <w:rFonts w:ascii="Times New Roman" w:hAnsi="Times New Roman"/>
          <w:color w:val="1C1C1C"/>
        </w:rPr>
        <w:t xml:space="preserve"> To </w:t>
      </w:r>
      <w:r>
        <w:rPr>
          <w:rFonts w:ascii="Times New Roman" w:hAnsi="Times New Roman"/>
          <w:color w:val="1C1C1C"/>
        </w:rPr>
        <w:t>decid</w:t>
      </w:r>
      <w:r w:rsidR="00675207">
        <w:rPr>
          <w:rFonts w:ascii="Times New Roman" w:hAnsi="Times New Roman"/>
          <w:color w:val="1C1C1C"/>
        </w:rPr>
        <w:t>e whether the Forest Service</w:t>
      </w:r>
      <w:r>
        <w:rPr>
          <w:rFonts w:ascii="Times New Roman" w:hAnsi="Times New Roman"/>
          <w:color w:val="1C1C1C"/>
        </w:rPr>
        <w:t xml:space="preserve"> sufficiently analyzed the c</w:t>
      </w:r>
      <w:r w:rsidR="00675207">
        <w:rPr>
          <w:rFonts w:ascii="Times New Roman" w:hAnsi="Times New Roman"/>
          <w:color w:val="1C1C1C"/>
        </w:rPr>
        <w:t>umulative effects of past project</w:t>
      </w:r>
      <w:r>
        <w:rPr>
          <w:rFonts w:ascii="Times New Roman" w:hAnsi="Times New Roman"/>
          <w:color w:val="1C1C1C"/>
        </w:rPr>
        <w:t>s on lynx</w:t>
      </w:r>
      <w:r w:rsidR="00EE32A2">
        <w:rPr>
          <w:rFonts w:ascii="Times New Roman" w:hAnsi="Times New Roman"/>
          <w:color w:val="1C1C1C"/>
        </w:rPr>
        <w:t xml:space="preserve">, the </w:t>
      </w:r>
      <w:r>
        <w:rPr>
          <w:rFonts w:ascii="Times New Roman" w:hAnsi="Times New Roman"/>
          <w:i/>
          <w:color w:val="1C1C1C"/>
        </w:rPr>
        <w:t xml:space="preserve">Friends </w:t>
      </w:r>
      <w:r w:rsidR="00EE32A2">
        <w:rPr>
          <w:rFonts w:ascii="Times New Roman" w:hAnsi="Times New Roman"/>
          <w:color w:val="1C1C1C"/>
        </w:rPr>
        <w:t>court relied heavily on the following 9</w:t>
      </w:r>
      <w:r w:rsidR="00EE32A2">
        <w:rPr>
          <w:rFonts w:ascii="Times New Roman" w:hAnsi="Times New Roman"/>
          <w:color w:val="1C1C1C"/>
          <w:vertAlign w:val="superscript"/>
        </w:rPr>
        <w:t>th</w:t>
      </w:r>
      <w:r w:rsidR="00EE32A2">
        <w:rPr>
          <w:rFonts w:ascii="Times New Roman" w:hAnsi="Times New Roman"/>
          <w:color w:val="1C1C1C"/>
        </w:rPr>
        <w:t xml:space="preserve"> Circuit decisions</w:t>
      </w:r>
      <w:r>
        <w:rPr>
          <w:rFonts w:ascii="Times New Roman" w:hAnsi="Times New Roman"/>
          <w:color w:val="1C1C1C"/>
        </w:rPr>
        <w:t>.</w:t>
      </w:r>
      <w:r w:rsidR="00EE32A2">
        <w:rPr>
          <w:rStyle w:val="FootnoteReference"/>
          <w:rFonts w:ascii="Times New Roman" w:hAnsi="Times New Roman"/>
          <w:color w:val="1C1C1C"/>
        </w:rPr>
        <w:footnoteReference w:id="42"/>
      </w:r>
    </w:p>
    <w:p w14:paraId="0BE0D384" w14:textId="77777777" w:rsidR="001A765D" w:rsidRDefault="001A765D" w:rsidP="00D95695">
      <w:pPr>
        <w:widowControl w:val="0"/>
        <w:autoSpaceDE w:val="0"/>
        <w:autoSpaceDN w:val="0"/>
        <w:adjustRightInd w:val="0"/>
        <w:spacing w:line="360" w:lineRule="auto"/>
        <w:ind w:right="432"/>
        <w:jc w:val="both"/>
        <w:rPr>
          <w:rFonts w:ascii="Times New Roman" w:hAnsi="Times New Roman"/>
          <w:i/>
          <w:color w:val="1C1C1C"/>
        </w:rPr>
      </w:pPr>
      <w:r>
        <w:rPr>
          <w:rFonts w:ascii="Times New Roman" w:hAnsi="Times New Roman"/>
          <w:i/>
          <w:color w:val="1C1C1C"/>
        </w:rPr>
        <w:tab/>
      </w:r>
    </w:p>
    <w:p w14:paraId="521677F1" w14:textId="46B91878" w:rsidR="001A765D" w:rsidRPr="00DA2CC2" w:rsidRDefault="001A765D" w:rsidP="00D95695">
      <w:pPr>
        <w:widowControl w:val="0"/>
        <w:autoSpaceDE w:val="0"/>
        <w:autoSpaceDN w:val="0"/>
        <w:adjustRightInd w:val="0"/>
        <w:spacing w:line="360" w:lineRule="auto"/>
        <w:ind w:right="432"/>
        <w:jc w:val="both"/>
        <w:rPr>
          <w:rFonts w:ascii="Times New Roman" w:hAnsi="Times New Roman"/>
          <w:color w:val="1C1C1C"/>
        </w:rPr>
      </w:pPr>
      <w:r w:rsidRPr="00DA2CC2">
        <w:rPr>
          <w:rFonts w:ascii="Times New Roman" w:hAnsi="Times New Roman"/>
          <w:color w:val="1C1C1C"/>
        </w:rPr>
        <w:t>a. Te-Moak Tribe of Western Shoshone of Nevada v. U.S. Department of Interior</w:t>
      </w:r>
    </w:p>
    <w:p w14:paraId="57853A96" w14:textId="77777777" w:rsidR="001A765D" w:rsidRPr="001A765D" w:rsidRDefault="001A765D" w:rsidP="00D95695">
      <w:pPr>
        <w:widowControl w:val="0"/>
        <w:autoSpaceDE w:val="0"/>
        <w:autoSpaceDN w:val="0"/>
        <w:adjustRightInd w:val="0"/>
        <w:spacing w:line="360" w:lineRule="auto"/>
        <w:ind w:right="432"/>
        <w:jc w:val="both"/>
        <w:rPr>
          <w:rFonts w:ascii="Times New Roman" w:hAnsi="Times New Roman"/>
          <w:i/>
          <w:color w:val="1C1C1C"/>
        </w:rPr>
      </w:pPr>
    </w:p>
    <w:p w14:paraId="43044652" w14:textId="16FCE30E" w:rsidR="001A765D" w:rsidRDefault="001A765D" w:rsidP="00D95695">
      <w:pPr>
        <w:widowControl w:val="0"/>
        <w:autoSpaceDE w:val="0"/>
        <w:autoSpaceDN w:val="0"/>
        <w:adjustRightInd w:val="0"/>
        <w:spacing w:line="360" w:lineRule="auto"/>
        <w:ind w:firstLine="720"/>
        <w:rPr>
          <w:rFonts w:ascii="Times New Roman" w:hAnsi="Times New Roman"/>
          <w:color w:val="1C1C1C"/>
        </w:rPr>
      </w:pPr>
      <w:r>
        <w:rPr>
          <w:rFonts w:ascii="Times New Roman" w:hAnsi="Times New Roman"/>
          <w:color w:val="1C1C1C"/>
        </w:rPr>
        <w:t xml:space="preserve">Plaintiffs in </w:t>
      </w:r>
      <w:r>
        <w:rPr>
          <w:rFonts w:ascii="Times New Roman" w:hAnsi="Times New Roman"/>
          <w:i/>
          <w:color w:val="1C1C1C"/>
        </w:rPr>
        <w:t xml:space="preserve">Te-Moak Tribe of Western Shoshone of Nevada v. U.S. Department of Interior </w:t>
      </w:r>
      <w:r>
        <w:rPr>
          <w:rFonts w:ascii="Times New Roman" w:hAnsi="Times New Roman"/>
          <w:color w:val="1C1C1C"/>
        </w:rPr>
        <w:t>(“</w:t>
      </w:r>
      <w:r>
        <w:rPr>
          <w:rFonts w:ascii="Times New Roman" w:hAnsi="Times New Roman"/>
          <w:i/>
          <w:color w:val="1C1C1C"/>
        </w:rPr>
        <w:t>Te-Moak”</w:t>
      </w:r>
      <w:r>
        <w:rPr>
          <w:rFonts w:ascii="Times New Roman" w:hAnsi="Times New Roman"/>
          <w:color w:val="1C1C1C"/>
        </w:rPr>
        <w:t>)</w:t>
      </w:r>
      <w:r>
        <w:rPr>
          <w:rFonts w:ascii="Times New Roman" w:hAnsi="Times New Roman"/>
          <w:i/>
          <w:color w:val="1C1C1C"/>
        </w:rPr>
        <w:t xml:space="preserve"> </w:t>
      </w:r>
      <w:r>
        <w:rPr>
          <w:rFonts w:ascii="Times New Roman" w:hAnsi="Times New Roman"/>
          <w:color w:val="1C1C1C"/>
        </w:rPr>
        <w:t>alleged that the Department of the Interior violated NEPA by approving an amendment to a mining project without sufficient analysis.</w:t>
      </w:r>
      <w:r>
        <w:rPr>
          <w:rStyle w:val="FootnoteReference"/>
          <w:rFonts w:ascii="Times New Roman" w:hAnsi="Times New Roman"/>
          <w:color w:val="1C1C1C"/>
        </w:rPr>
        <w:footnoteReference w:id="43"/>
      </w:r>
      <w:r w:rsidR="0032515C">
        <w:rPr>
          <w:rFonts w:ascii="Times New Roman" w:hAnsi="Times New Roman"/>
          <w:color w:val="1C1C1C"/>
        </w:rPr>
        <w:t xml:space="preserve"> The original proposal</w:t>
      </w:r>
      <w:r>
        <w:rPr>
          <w:rFonts w:ascii="Times New Roman" w:hAnsi="Times New Roman"/>
          <w:color w:val="1C1C1C"/>
        </w:rPr>
        <w:t xml:space="preserve"> was permitted to disturb fifty acres of land within the project area. The proposed amendment allowed disturbance of two hundred fifty acres.</w:t>
      </w:r>
      <w:r>
        <w:rPr>
          <w:rStyle w:val="FootnoteReference"/>
          <w:rFonts w:ascii="Times New Roman" w:hAnsi="Times New Roman"/>
          <w:color w:val="1C1C1C"/>
        </w:rPr>
        <w:footnoteReference w:id="44"/>
      </w:r>
      <w:r>
        <w:rPr>
          <w:rFonts w:ascii="Times New Roman" w:hAnsi="Times New Roman"/>
          <w:color w:val="1C1C1C"/>
        </w:rPr>
        <w:t xml:space="preserve"> In response, the Bureau of Land Management (“BLM”) prepared an EA that the plaintiffs subsequently challenged.</w:t>
      </w:r>
      <w:r w:rsidR="0032515C" w:rsidRPr="0032515C">
        <w:rPr>
          <w:rStyle w:val="FootnoteReference"/>
          <w:rFonts w:ascii="Times New Roman" w:hAnsi="Times New Roman"/>
          <w:color w:val="1C1C1C"/>
        </w:rPr>
        <w:t xml:space="preserve"> </w:t>
      </w:r>
      <w:r w:rsidR="0032515C">
        <w:rPr>
          <w:rStyle w:val="FootnoteReference"/>
          <w:rFonts w:ascii="Times New Roman" w:hAnsi="Times New Roman"/>
          <w:color w:val="1C1C1C"/>
        </w:rPr>
        <w:footnoteReference w:id="45"/>
      </w:r>
      <w:r>
        <w:rPr>
          <w:rFonts w:ascii="Times New Roman" w:hAnsi="Times New Roman"/>
          <w:color w:val="1C1C1C"/>
        </w:rPr>
        <w:t xml:space="preserve"> The district court granted the BLM’s motion for summary judgment, holding that they had complied with NEPA.</w:t>
      </w:r>
      <w:r>
        <w:rPr>
          <w:rStyle w:val="FootnoteReference"/>
          <w:rFonts w:ascii="Times New Roman" w:hAnsi="Times New Roman"/>
          <w:color w:val="1C1C1C"/>
        </w:rPr>
        <w:footnoteReference w:id="46"/>
      </w:r>
      <w:r>
        <w:rPr>
          <w:rFonts w:ascii="Times New Roman" w:hAnsi="Times New Roman"/>
          <w:color w:val="1C1C1C"/>
        </w:rPr>
        <w:t xml:space="preserve"> On appeal, plaintiffs alleged that the BLM did not sufficiently analyze the cumulative impacts the amendment would have on tribal lands.</w:t>
      </w:r>
      <w:r>
        <w:rPr>
          <w:rStyle w:val="FootnoteReference"/>
          <w:rFonts w:ascii="Times New Roman" w:hAnsi="Times New Roman"/>
          <w:color w:val="1C1C1C"/>
        </w:rPr>
        <w:footnoteReference w:id="47"/>
      </w:r>
      <w:r>
        <w:rPr>
          <w:rFonts w:ascii="Times New Roman" w:hAnsi="Times New Roman"/>
          <w:color w:val="1C1C1C"/>
        </w:rPr>
        <w:t xml:space="preserve"> </w:t>
      </w:r>
    </w:p>
    <w:p w14:paraId="160A959A" w14:textId="091FC19D" w:rsidR="001A765D" w:rsidRPr="00AF529F" w:rsidRDefault="001A765D" w:rsidP="00D95695">
      <w:pPr>
        <w:widowControl w:val="0"/>
        <w:autoSpaceDE w:val="0"/>
        <w:autoSpaceDN w:val="0"/>
        <w:adjustRightInd w:val="0"/>
        <w:spacing w:line="360" w:lineRule="auto"/>
        <w:rPr>
          <w:rFonts w:ascii="Times New Roman" w:hAnsi="Times New Roman"/>
        </w:rPr>
      </w:pPr>
      <w:r>
        <w:rPr>
          <w:rFonts w:ascii="Times New Roman" w:hAnsi="Times New Roman"/>
          <w:color w:val="1C1C1C"/>
        </w:rPr>
        <w:tab/>
        <w:t>The 9</w:t>
      </w:r>
      <w:r>
        <w:rPr>
          <w:rFonts w:ascii="Times New Roman" w:hAnsi="Times New Roman"/>
          <w:color w:val="1C1C1C"/>
          <w:vertAlign w:val="superscript"/>
        </w:rPr>
        <w:t>th</w:t>
      </w:r>
      <w:r>
        <w:rPr>
          <w:rFonts w:ascii="Times New Roman" w:hAnsi="Times New Roman"/>
          <w:color w:val="1C1C1C"/>
        </w:rPr>
        <w:t xml:space="preserve"> Circuit began by discussing the cumulative effects precedent under NEPA.</w:t>
      </w:r>
      <w:r>
        <w:rPr>
          <w:rStyle w:val="FootnoteReference"/>
          <w:rFonts w:ascii="Times New Roman" w:hAnsi="Times New Roman"/>
          <w:color w:val="1C1C1C"/>
        </w:rPr>
        <w:footnoteReference w:id="48"/>
      </w:r>
      <w:r>
        <w:rPr>
          <w:rFonts w:ascii="Times New Roman" w:hAnsi="Times New Roman"/>
          <w:color w:val="1C1C1C"/>
        </w:rPr>
        <w:t xml:space="preserve"> It first stated that an EA’s cumulative effects analysis “must give a sufficiently detailed catalogue of past, present, and future projects, and provide adequate analysis about how these projects, and differences between projects are thought to have impacted the environment.”</w:t>
      </w:r>
      <w:r>
        <w:rPr>
          <w:rStyle w:val="FootnoteReference"/>
          <w:rFonts w:ascii="Times New Roman" w:hAnsi="Times New Roman"/>
          <w:color w:val="1C1C1C"/>
        </w:rPr>
        <w:footnoteReference w:id="49"/>
      </w:r>
      <w:r>
        <w:rPr>
          <w:rFonts w:ascii="Times New Roman" w:hAnsi="Times New Roman"/>
          <w:color w:val="1C1C1C"/>
        </w:rPr>
        <w:t xml:space="preserve"> It then stated, “general statements about ‘possible effects’ and ‘some risk’ do not constitute a ‘hard look’ absent a justification regarding why more definitive information could not be provided.”</w:t>
      </w:r>
      <w:r>
        <w:rPr>
          <w:rStyle w:val="FootnoteReference"/>
          <w:rFonts w:ascii="Times New Roman" w:hAnsi="Times New Roman"/>
          <w:color w:val="1C1C1C"/>
        </w:rPr>
        <w:footnoteReference w:id="50"/>
      </w:r>
      <w:r>
        <w:rPr>
          <w:rFonts w:ascii="Times New Roman" w:hAnsi="Times New Roman"/>
          <w:color w:val="1C1C1C"/>
        </w:rPr>
        <w:t xml:space="preserve"> The court concluded by stating “Some quantified or detailed information is required. Without such information neither the courts, nor the public … can be assured that the [agency] provided the hard look that it is required to provide.”</w:t>
      </w:r>
      <w:r>
        <w:rPr>
          <w:rStyle w:val="FootnoteReference"/>
          <w:rFonts w:ascii="Times New Roman" w:hAnsi="Times New Roman"/>
          <w:color w:val="1C1C1C"/>
        </w:rPr>
        <w:footnoteReference w:id="51"/>
      </w:r>
    </w:p>
    <w:p w14:paraId="175B74CD" w14:textId="053C3197" w:rsidR="001A765D" w:rsidRDefault="001A765D" w:rsidP="00D95695">
      <w:pPr>
        <w:widowControl w:val="0"/>
        <w:autoSpaceDE w:val="0"/>
        <w:autoSpaceDN w:val="0"/>
        <w:adjustRightInd w:val="0"/>
        <w:spacing w:line="360" w:lineRule="auto"/>
        <w:rPr>
          <w:rFonts w:ascii="Times New Roman" w:hAnsi="Times New Roman"/>
          <w:color w:val="1C1C1C"/>
        </w:rPr>
      </w:pPr>
      <w:r>
        <w:rPr>
          <w:rFonts w:ascii="Times New Roman" w:hAnsi="Times New Roman"/>
          <w:color w:val="1C1C1C"/>
        </w:rPr>
        <w:tab/>
        <w:t xml:space="preserve">Applying its discussion to the facts of the case, the </w:t>
      </w:r>
      <w:r>
        <w:rPr>
          <w:rFonts w:ascii="Times New Roman" w:hAnsi="Times New Roman"/>
          <w:i/>
          <w:color w:val="1C1C1C"/>
        </w:rPr>
        <w:t xml:space="preserve">Te-Moak </w:t>
      </w:r>
      <w:r>
        <w:rPr>
          <w:rFonts w:ascii="Times New Roman" w:hAnsi="Times New Roman"/>
          <w:color w:val="1C1C1C"/>
        </w:rPr>
        <w:t>court explored the Cultural Resources, and Native American Religious Concerns sections of the EA.</w:t>
      </w:r>
      <w:r>
        <w:rPr>
          <w:rStyle w:val="FootnoteReference"/>
          <w:rFonts w:ascii="Times New Roman" w:hAnsi="Times New Roman"/>
          <w:color w:val="1C1C1C"/>
        </w:rPr>
        <w:footnoteReference w:id="52"/>
      </w:r>
      <w:r w:rsidR="00970559">
        <w:rPr>
          <w:rFonts w:ascii="Times New Roman" w:hAnsi="Times New Roman"/>
          <w:color w:val="1C1C1C"/>
        </w:rPr>
        <w:t xml:space="preserve"> There, i</w:t>
      </w:r>
      <w:r>
        <w:rPr>
          <w:rFonts w:ascii="Times New Roman" w:hAnsi="Times New Roman"/>
          <w:color w:val="1C1C1C"/>
        </w:rPr>
        <w:t>t found that the BLM’s analysis “did not adequately address the [cumulative effects of the] reasonably foreseeable mining activities of the … project” in those sections</w:t>
      </w:r>
      <w:r>
        <w:rPr>
          <w:rStyle w:val="FootnoteReference"/>
          <w:rFonts w:ascii="Times New Roman" w:hAnsi="Times New Roman"/>
          <w:color w:val="1C1C1C"/>
        </w:rPr>
        <w:footnoteReference w:id="53"/>
      </w:r>
      <w:r>
        <w:rPr>
          <w:rFonts w:ascii="Times New Roman" w:hAnsi="Times New Roman"/>
          <w:color w:val="1C1C1C"/>
        </w:rPr>
        <w:t xml:space="preserve"> It based its rationale on the fact that the two sections “focus [ ] on the effects of the amendment, rather than the [reasonably </w:t>
      </w:r>
      <w:r w:rsidR="00BF7B1D">
        <w:rPr>
          <w:rFonts w:ascii="Times New Roman" w:hAnsi="Times New Roman"/>
          <w:color w:val="1C1C1C"/>
        </w:rPr>
        <w:t>foreseeable</w:t>
      </w:r>
      <w:r>
        <w:rPr>
          <w:rFonts w:ascii="Times New Roman" w:hAnsi="Times New Roman"/>
          <w:color w:val="1C1C1C"/>
        </w:rPr>
        <w:t>] combined impacts resulting from the activities of the amendment with other projects.”</w:t>
      </w:r>
      <w:r>
        <w:rPr>
          <w:rStyle w:val="FootnoteReference"/>
          <w:rFonts w:ascii="Times New Roman" w:hAnsi="Times New Roman"/>
          <w:color w:val="1C1C1C"/>
        </w:rPr>
        <w:footnoteReference w:id="54"/>
      </w:r>
      <w:r w:rsidR="00D513D7">
        <w:rPr>
          <w:rFonts w:ascii="Times New Roman" w:hAnsi="Times New Roman"/>
          <w:color w:val="1C1C1C"/>
        </w:rPr>
        <w:t xml:space="preserve"> The court held</w:t>
      </w:r>
      <w:r>
        <w:rPr>
          <w:rFonts w:ascii="Times New Roman" w:hAnsi="Times New Roman"/>
          <w:color w:val="1C1C1C"/>
        </w:rPr>
        <w:t xml:space="preserve"> that the “BLM’s analysis of the </w:t>
      </w:r>
      <w:r w:rsidR="00970559">
        <w:rPr>
          <w:rFonts w:ascii="Times New Roman" w:hAnsi="Times New Roman"/>
          <w:color w:val="1C1C1C"/>
        </w:rPr>
        <w:t xml:space="preserve">[reasonably foreseeable] </w:t>
      </w:r>
      <w:r>
        <w:rPr>
          <w:rFonts w:ascii="Times New Roman" w:hAnsi="Times New Roman"/>
          <w:color w:val="1C1C1C"/>
        </w:rPr>
        <w:t>cumulative impacts of the … project was insufficient and therefore violated NEPA.”</w:t>
      </w:r>
      <w:r>
        <w:rPr>
          <w:rStyle w:val="FootnoteReference"/>
          <w:rFonts w:ascii="Times New Roman" w:hAnsi="Times New Roman"/>
          <w:color w:val="1C1C1C"/>
        </w:rPr>
        <w:footnoteReference w:id="55"/>
      </w:r>
    </w:p>
    <w:p w14:paraId="2A9CA23C" w14:textId="77777777" w:rsidR="001A765D" w:rsidRDefault="001A765D" w:rsidP="00D95695">
      <w:pPr>
        <w:widowControl w:val="0"/>
        <w:autoSpaceDE w:val="0"/>
        <w:autoSpaceDN w:val="0"/>
        <w:adjustRightInd w:val="0"/>
        <w:spacing w:line="360" w:lineRule="auto"/>
        <w:rPr>
          <w:rFonts w:ascii="Times New Roman" w:hAnsi="Times New Roman"/>
          <w:color w:val="1C1C1C"/>
        </w:rPr>
      </w:pPr>
    </w:p>
    <w:p w14:paraId="2792870C" w14:textId="45EC9F57" w:rsidR="00EE32A2" w:rsidRPr="00DA2CC2" w:rsidRDefault="001A765D" w:rsidP="00D95695">
      <w:pPr>
        <w:widowControl w:val="0"/>
        <w:autoSpaceDE w:val="0"/>
        <w:autoSpaceDN w:val="0"/>
        <w:adjustRightInd w:val="0"/>
        <w:spacing w:line="360" w:lineRule="auto"/>
        <w:rPr>
          <w:rFonts w:ascii="Times New Roman" w:hAnsi="Times New Roman"/>
          <w:color w:val="1C1C1C"/>
        </w:rPr>
      </w:pPr>
      <w:r w:rsidRPr="00DA2CC2">
        <w:rPr>
          <w:rFonts w:ascii="Times New Roman" w:hAnsi="Times New Roman"/>
          <w:color w:val="1C1C1C"/>
        </w:rPr>
        <w:t>b</w:t>
      </w:r>
      <w:r w:rsidR="00EE32A2" w:rsidRPr="00DA2CC2">
        <w:rPr>
          <w:rFonts w:ascii="Times New Roman" w:hAnsi="Times New Roman"/>
          <w:color w:val="1C1C1C"/>
        </w:rPr>
        <w:t>. Center for Environmental Law and Policy v. United States Bureau of Reclamation</w:t>
      </w:r>
    </w:p>
    <w:p w14:paraId="3B53B026" w14:textId="77777777" w:rsidR="00EE32A2" w:rsidRDefault="00EE32A2" w:rsidP="00D95695">
      <w:pPr>
        <w:widowControl w:val="0"/>
        <w:autoSpaceDE w:val="0"/>
        <w:autoSpaceDN w:val="0"/>
        <w:adjustRightInd w:val="0"/>
        <w:spacing w:line="360" w:lineRule="auto"/>
        <w:rPr>
          <w:rFonts w:ascii="Times New Roman" w:hAnsi="Times New Roman"/>
          <w:color w:val="1C1C1C"/>
        </w:rPr>
      </w:pPr>
    </w:p>
    <w:p w14:paraId="14998503" w14:textId="1FD853CE" w:rsidR="00EE32A2" w:rsidRDefault="00D513D7" w:rsidP="00D95695">
      <w:pPr>
        <w:widowControl w:val="0"/>
        <w:autoSpaceDE w:val="0"/>
        <w:autoSpaceDN w:val="0"/>
        <w:adjustRightInd w:val="0"/>
        <w:spacing w:line="360" w:lineRule="auto"/>
        <w:ind w:firstLine="720"/>
        <w:rPr>
          <w:rFonts w:ascii="Times New Roman" w:hAnsi="Times New Roman"/>
          <w:color w:val="1C1C1C"/>
        </w:rPr>
      </w:pPr>
      <w:r>
        <w:rPr>
          <w:rFonts w:ascii="Times New Roman" w:hAnsi="Times New Roman"/>
          <w:color w:val="1C1C1C"/>
        </w:rPr>
        <w:t>One</w:t>
      </w:r>
      <w:r w:rsidR="00AF529F">
        <w:rPr>
          <w:rFonts w:ascii="Times New Roman" w:hAnsi="Times New Roman"/>
          <w:color w:val="1C1C1C"/>
        </w:rPr>
        <w:t xml:space="preserve"> year later, the court was</w:t>
      </w:r>
      <w:r>
        <w:rPr>
          <w:rFonts w:ascii="Times New Roman" w:hAnsi="Times New Roman"/>
          <w:color w:val="1C1C1C"/>
        </w:rPr>
        <w:t xml:space="preserve"> faced with deciding a cumulative effects challenge</w:t>
      </w:r>
      <w:r w:rsidR="00AF529F">
        <w:rPr>
          <w:rFonts w:ascii="Times New Roman" w:hAnsi="Times New Roman"/>
          <w:color w:val="1C1C1C"/>
        </w:rPr>
        <w:t xml:space="preserve"> of a different nature</w:t>
      </w:r>
      <w:r>
        <w:rPr>
          <w:rFonts w:ascii="Times New Roman" w:hAnsi="Times New Roman"/>
          <w:color w:val="1C1C1C"/>
        </w:rPr>
        <w:t>. Confronting</w:t>
      </w:r>
      <w:r w:rsidR="00EE32A2">
        <w:rPr>
          <w:rFonts w:ascii="Times New Roman" w:hAnsi="Times New Roman"/>
          <w:color w:val="1C1C1C"/>
        </w:rPr>
        <w:t xml:space="preserve"> multiple water demands in the Columbia River Basin</w:t>
      </w:r>
      <w:r w:rsidR="0032515C">
        <w:rPr>
          <w:rFonts w:ascii="Times New Roman" w:hAnsi="Times New Roman"/>
          <w:color w:val="1C1C1C"/>
        </w:rPr>
        <w:t>, the Bureau Reclamation</w:t>
      </w:r>
      <w:r w:rsidR="00EE32A2">
        <w:rPr>
          <w:rFonts w:ascii="Times New Roman" w:hAnsi="Times New Roman"/>
          <w:color w:val="1C1C1C"/>
        </w:rPr>
        <w:t xml:space="preserve"> developed strategies to increase water supplies.</w:t>
      </w:r>
      <w:r w:rsidR="00EE32A2">
        <w:rPr>
          <w:rStyle w:val="FootnoteReference"/>
          <w:rFonts w:ascii="Times New Roman" w:hAnsi="Times New Roman"/>
          <w:color w:val="1C1C1C"/>
        </w:rPr>
        <w:footnoteReference w:id="56"/>
      </w:r>
      <w:r w:rsidR="0032515C">
        <w:rPr>
          <w:rFonts w:ascii="Times New Roman" w:hAnsi="Times New Roman"/>
          <w:color w:val="1C1C1C"/>
        </w:rPr>
        <w:t xml:space="preserve"> To comply with NEPA, the bureau</w:t>
      </w:r>
      <w:r w:rsidR="00EE32A2">
        <w:rPr>
          <w:rFonts w:ascii="Times New Roman" w:hAnsi="Times New Roman"/>
          <w:color w:val="1C1C1C"/>
        </w:rPr>
        <w:t xml:space="preserve"> prepared an EA for the project th</w:t>
      </w:r>
      <w:r w:rsidR="00970559">
        <w:rPr>
          <w:rFonts w:ascii="Times New Roman" w:hAnsi="Times New Roman"/>
          <w:color w:val="1C1C1C"/>
        </w:rPr>
        <w:t>at included a section reviewing the project's cumulative effect</w:t>
      </w:r>
      <w:r w:rsidR="00EE32A2">
        <w:rPr>
          <w:rFonts w:ascii="Times New Roman" w:hAnsi="Times New Roman"/>
          <w:color w:val="1C1C1C"/>
        </w:rPr>
        <w:t>s.</w:t>
      </w:r>
      <w:r w:rsidR="00EE32A2">
        <w:rPr>
          <w:rStyle w:val="FootnoteReference"/>
          <w:rFonts w:ascii="Times New Roman" w:hAnsi="Times New Roman"/>
          <w:color w:val="1C1C1C"/>
        </w:rPr>
        <w:footnoteReference w:id="57"/>
      </w:r>
      <w:r w:rsidR="00EE32A2">
        <w:rPr>
          <w:rFonts w:ascii="Times New Roman" w:hAnsi="Times New Roman"/>
          <w:color w:val="1C1C1C"/>
        </w:rPr>
        <w:t xml:space="preserve"> The </w:t>
      </w:r>
      <w:r w:rsidR="00EE32A2">
        <w:rPr>
          <w:rFonts w:ascii="Times New Roman" w:hAnsi="Times New Roman"/>
          <w:i/>
          <w:color w:val="1C1C1C"/>
        </w:rPr>
        <w:t xml:space="preserve">Center for Environmental Law and Policy </w:t>
      </w:r>
      <w:r w:rsidR="00EE32A2">
        <w:rPr>
          <w:rFonts w:ascii="Times New Roman" w:hAnsi="Times New Roman"/>
          <w:color w:val="1C1C1C"/>
        </w:rPr>
        <w:t>(“</w:t>
      </w:r>
      <w:r w:rsidR="00EE32A2">
        <w:rPr>
          <w:rFonts w:ascii="Times New Roman" w:hAnsi="Times New Roman"/>
          <w:i/>
          <w:color w:val="1C1C1C"/>
        </w:rPr>
        <w:t>CELP”</w:t>
      </w:r>
      <w:r w:rsidR="00970559">
        <w:rPr>
          <w:rFonts w:ascii="Times New Roman" w:hAnsi="Times New Roman"/>
          <w:color w:val="1C1C1C"/>
        </w:rPr>
        <w:t xml:space="preserve">) challenged the sufficiency of the review, </w:t>
      </w:r>
      <w:r w:rsidR="00EE32A2">
        <w:rPr>
          <w:rFonts w:ascii="Times New Roman" w:hAnsi="Times New Roman"/>
          <w:color w:val="1C1C1C"/>
        </w:rPr>
        <w:t>alleg</w:t>
      </w:r>
      <w:r w:rsidR="00362CB9">
        <w:rPr>
          <w:rFonts w:ascii="Times New Roman" w:hAnsi="Times New Roman"/>
          <w:color w:val="1C1C1C"/>
        </w:rPr>
        <w:t>ing</w:t>
      </w:r>
      <w:r w:rsidR="0032515C">
        <w:rPr>
          <w:rFonts w:ascii="Times New Roman" w:hAnsi="Times New Roman"/>
          <w:color w:val="1C1C1C"/>
        </w:rPr>
        <w:t xml:space="preserve"> the</w:t>
      </w:r>
      <w:r w:rsidR="00362CB9">
        <w:rPr>
          <w:rFonts w:ascii="Times New Roman" w:hAnsi="Times New Roman"/>
          <w:color w:val="1C1C1C"/>
        </w:rPr>
        <w:t xml:space="preserve"> bureau’s</w:t>
      </w:r>
      <w:r w:rsidR="00970559">
        <w:rPr>
          <w:rFonts w:ascii="Times New Roman" w:hAnsi="Times New Roman"/>
          <w:color w:val="1C1C1C"/>
        </w:rPr>
        <w:t xml:space="preserve"> insufficient analysis of the past</w:t>
      </w:r>
      <w:r w:rsidR="00362CB9">
        <w:rPr>
          <w:rFonts w:ascii="Times New Roman" w:hAnsi="Times New Roman"/>
          <w:color w:val="1C1C1C"/>
        </w:rPr>
        <w:t xml:space="preserve"> cumulative effects</w:t>
      </w:r>
      <w:r w:rsidR="00EE32A2">
        <w:rPr>
          <w:rFonts w:ascii="Times New Roman" w:hAnsi="Times New Roman"/>
          <w:color w:val="1C1C1C"/>
        </w:rPr>
        <w:t>.</w:t>
      </w:r>
      <w:r w:rsidR="00EE32A2">
        <w:rPr>
          <w:rStyle w:val="FootnoteReference"/>
          <w:rFonts w:ascii="Times New Roman" w:hAnsi="Times New Roman"/>
          <w:color w:val="1C1C1C"/>
        </w:rPr>
        <w:footnoteReference w:id="58"/>
      </w:r>
      <w:r w:rsidR="00EE32A2">
        <w:rPr>
          <w:rFonts w:ascii="Times New Roman" w:hAnsi="Times New Roman"/>
          <w:color w:val="1C1C1C"/>
        </w:rPr>
        <w:t xml:space="preserve"> However, in light of the “long collaborative process between [various] stakeholders” the district court held that the EA “thoroughly account[ed] for [the] history of development in the region and the project’s cumulative impacts thereto.”</w:t>
      </w:r>
      <w:r w:rsidR="00EE32A2">
        <w:rPr>
          <w:rStyle w:val="FootnoteReference"/>
          <w:rFonts w:ascii="Times New Roman" w:hAnsi="Times New Roman"/>
          <w:color w:val="1C1C1C"/>
        </w:rPr>
        <w:footnoteReference w:id="59"/>
      </w:r>
      <w:r w:rsidR="00EE32A2">
        <w:rPr>
          <w:rFonts w:ascii="Times New Roman" w:hAnsi="Times New Roman"/>
          <w:color w:val="1C1C1C"/>
        </w:rPr>
        <w:t xml:space="preserve"> On appeal, the plaintiffs characterized the EA as deficient because its discussion of the cumulative effect of past actions was conclusory.</w:t>
      </w:r>
      <w:r w:rsidR="00EE32A2">
        <w:rPr>
          <w:rStyle w:val="FootnoteReference"/>
          <w:rFonts w:ascii="Times New Roman" w:hAnsi="Times New Roman"/>
          <w:color w:val="1C1C1C"/>
        </w:rPr>
        <w:footnoteReference w:id="60"/>
      </w:r>
      <w:r w:rsidR="00EE32A2">
        <w:rPr>
          <w:rFonts w:ascii="Times New Roman" w:hAnsi="Times New Roman"/>
          <w:color w:val="1C1C1C"/>
        </w:rPr>
        <w:t xml:space="preserve"> </w:t>
      </w:r>
    </w:p>
    <w:p w14:paraId="60908A72" w14:textId="16340800" w:rsidR="00EE32A2" w:rsidRPr="0098032B" w:rsidRDefault="00B0685D" w:rsidP="00D95695">
      <w:pPr>
        <w:widowControl w:val="0"/>
        <w:autoSpaceDE w:val="0"/>
        <w:autoSpaceDN w:val="0"/>
        <w:adjustRightInd w:val="0"/>
        <w:spacing w:line="360" w:lineRule="auto"/>
        <w:rPr>
          <w:rFonts w:ascii="Times New Roman" w:hAnsi="Times New Roman"/>
          <w:color w:val="1C1C1C"/>
        </w:rPr>
      </w:pPr>
      <w:r>
        <w:rPr>
          <w:rFonts w:ascii="Times New Roman" w:hAnsi="Times New Roman"/>
          <w:color w:val="1C1C1C"/>
        </w:rPr>
        <w:tab/>
        <w:t>On appeal, the 9</w:t>
      </w:r>
      <w:r w:rsidRPr="00B0685D">
        <w:rPr>
          <w:rFonts w:ascii="Times New Roman" w:hAnsi="Times New Roman"/>
          <w:color w:val="1C1C1C"/>
          <w:vertAlign w:val="superscript"/>
        </w:rPr>
        <w:t>th</w:t>
      </w:r>
      <w:r>
        <w:rPr>
          <w:rFonts w:ascii="Times New Roman" w:hAnsi="Times New Roman"/>
          <w:color w:val="1C1C1C"/>
        </w:rPr>
        <w:t xml:space="preserve"> circuit</w:t>
      </w:r>
      <w:r w:rsidR="00D513D7">
        <w:rPr>
          <w:rFonts w:ascii="Times New Roman" w:hAnsi="Times New Roman"/>
          <w:color w:val="1C1C1C"/>
        </w:rPr>
        <w:t xml:space="preserve"> began</w:t>
      </w:r>
      <w:r w:rsidR="00EE32A2">
        <w:rPr>
          <w:rFonts w:ascii="Times New Roman" w:hAnsi="Times New Roman"/>
          <w:color w:val="1C1C1C"/>
        </w:rPr>
        <w:t xml:space="preserve"> by discussing the existing cumulative effects precedent under NEPA.</w:t>
      </w:r>
      <w:r w:rsidR="00EE32A2">
        <w:rPr>
          <w:rStyle w:val="FootnoteReference"/>
          <w:rFonts w:ascii="Times New Roman" w:hAnsi="Times New Roman"/>
          <w:color w:val="1C1C1C"/>
        </w:rPr>
        <w:footnoteReference w:id="61"/>
      </w:r>
      <w:r w:rsidR="00EE32A2">
        <w:rPr>
          <w:rFonts w:ascii="Times New Roman" w:hAnsi="Times New Roman"/>
          <w:color w:val="1C1C1C"/>
        </w:rPr>
        <w:t xml:space="preserve"> The court recognized that, “consideration of cumulative impacts requires some quantified or detailed information that results in a useful analysis, even when the agency is preparing an EA and not an EIS.”</w:t>
      </w:r>
      <w:r w:rsidR="00EE32A2">
        <w:rPr>
          <w:rStyle w:val="FootnoteReference"/>
          <w:rFonts w:ascii="Times New Roman" w:hAnsi="Times New Roman"/>
          <w:color w:val="1C1C1C"/>
        </w:rPr>
        <w:footnoteReference w:id="62"/>
      </w:r>
      <w:r w:rsidR="00EE32A2">
        <w:rPr>
          <w:rFonts w:ascii="Times New Roman" w:hAnsi="Times New Roman"/>
          <w:color w:val="1C1C1C"/>
        </w:rPr>
        <w:t xml:space="preserve"> It then noted</w:t>
      </w:r>
      <w:r w:rsidR="00D513D7">
        <w:rPr>
          <w:rFonts w:ascii="Times New Roman" w:hAnsi="Times New Roman"/>
          <w:color w:val="1C1C1C"/>
        </w:rPr>
        <w:t xml:space="preserve"> that</w:t>
      </w:r>
      <w:r w:rsidR="00EE32A2">
        <w:rPr>
          <w:rFonts w:ascii="Times New Roman" w:hAnsi="Times New Roman"/>
          <w:color w:val="1C1C1C"/>
        </w:rPr>
        <w:t>, “general statements about possible effects and some risk do not constitute a hard look absent a justification why more definitive information could not be provided.”</w:t>
      </w:r>
      <w:r w:rsidR="00EE32A2">
        <w:rPr>
          <w:rStyle w:val="FootnoteReference"/>
          <w:rFonts w:ascii="Times New Roman" w:hAnsi="Times New Roman"/>
          <w:color w:val="1C1C1C"/>
        </w:rPr>
        <w:footnoteReference w:id="63"/>
      </w:r>
      <w:r w:rsidR="00EE32A2">
        <w:rPr>
          <w:rFonts w:ascii="Times New Roman" w:hAnsi="Times New Roman"/>
          <w:color w:val="1C1C1C"/>
        </w:rPr>
        <w:t xml:space="preserve"> The court concluded </w:t>
      </w:r>
      <w:r w:rsidR="00D513D7">
        <w:rPr>
          <w:rFonts w:ascii="Times New Roman" w:hAnsi="Times New Roman"/>
          <w:color w:val="1C1C1C"/>
        </w:rPr>
        <w:t xml:space="preserve">its review </w:t>
      </w:r>
      <w:r w:rsidR="00EE32A2">
        <w:rPr>
          <w:rFonts w:ascii="Times New Roman" w:hAnsi="Times New Roman"/>
          <w:color w:val="1C1C1C"/>
        </w:rPr>
        <w:t>by clarifying that an agency “may, however, characterize the cumulative effects of past actions in the aggregate without enumerating every past project that has affected an area.”</w:t>
      </w:r>
      <w:r w:rsidR="00EE32A2">
        <w:rPr>
          <w:rStyle w:val="FootnoteReference"/>
          <w:rFonts w:ascii="Times New Roman" w:hAnsi="Times New Roman"/>
          <w:color w:val="1C1C1C"/>
        </w:rPr>
        <w:footnoteReference w:id="64"/>
      </w:r>
      <w:r w:rsidR="00EE32A2">
        <w:rPr>
          <w:rFonts w:ascii="Times New Roman" w:hAnsi="Times New Roman"/>
          <w:color w:val="1C1C1C"/>
        </w:rPr>
        <w:t xml:space="preserve"> </w:t>
      </w:r>
      <w:r w:rsidR="0098032B">
        <w:rPr>
          <w:rFonts w:ascii="Times New Roman" w:hAnsi="Times New Roman"/>
          <w:color w:val="1C1C1C"/>
        </w:rPr>
        <w:t xml:space="preserve">This “aggregate” standard – cited in </w:t>
      </w:r>
      <w:r w:rsidR="0098032B" w:rsidRPr="0098032B">
        <w:rPr>
          <w:rFonts w:ascii="Times New Roman" w:hAnsi="Times New Roman"/>
          <w:i/>
          <w:color w:val="1C1C1C"/>
        </w:rPr>
        <w:t>CELP</w:t>
      </w:r>
      <w:r w:rsidR="0098032B">
        <w:rPr>
          <w:rFonts w:ascii="Times New Roman" w:hAnsi="Times New Roman"/>
          <w:color w:val="1C1C1C"/>
        </w:rPr>
        <w:t xml:space="preserve"> but not </w:t>
      </w:r>
      <w:r w:rsidR="0098032B" w:rsidRPr="0098032B">
        <w:rPr>
          <w:rFonts w:ascii="Times New Roman" w:hAnsi="Times New Roman"/>
          <w:i/>
          <w:color w:val="1C1C1C"/>
        </w:rPr>
        <w:t>Te-Moak</w:t>
      </w:r>
      <w:r w:rsidR="00AF529F">
        <w:rPr>
          <w:rFonts w:ascii="Times New Roman" w:hAnsi="Times New Roman"/>
          <w:color w:val="1C1C1C"/>
        </w:rPr>
        <w:t xml:space="preserve"> – derives</w:t>
      </w:r>
      <w:r w:rsidR="0098032B">
        <w:rPr>
          <w:rFonts w:ascii="Times New Roman" w:hAnsi="Times New Roman"/>
          <w:color w:val="1C1C1C"/>
        </w:rPr>
        <w:t xml:space="preserve"> from the 9</w:t>
      </w:r>
      <w:r w:rsidR="0098032B" w:rsidRPr="0098032B">
        <w:rPr>
          <w:rFonts w:ascii="Times New Roman" w:hAnsi="Times New Roman"/>
          <w:color w:val="1C1C1C"/>
          <w:vertAlign w:val="superscript"/>
        </w:rPr>
        <w:t>th</w:t>
      </w:r>
      <w:r w:rsidR="0098032B">
        <w:rPr>
          <w:rFonts w:ascii="Times New Roman" w:hAnsi="Times New Roman"/>
          <w:color w:val="1C1C1C"/>
        </w:rPr>
        <w:t xml:space="preserve"> Circuit’s </w:t>
      </w:r>
      <w:r w:rsidR="005C25F5">
        <w:rPr>
          <w:rFonts w:ascii="Times New Roman" w:hAnsi="Times New Roman"/>
          <w:color w:val="1C1C1C"/>
        </w:rPr>
        <w:t xml:space="preserve">controversial </w:t>
      </w:r>
      <w:r w:rsidR="0098032B">
        <w:rPr>
          <w:rFonts w:ascii="Times New Roman" w:hAnsi="Times New Roman"/>
          <w:color w:val="1C1C1C"/>
        </w:rPr>
        <w:t xml:space="preserve">en banc opinion in </w:t>
      </w:r>
      <w:r w:rsidR="0098032B">
        <w:rPr>
          <w:rFonts w:ascii="Times New Roman" w:hAnsi="Times New Roman"/>
          <w:i/>
          <w:color w:val="1C1C1C"/>
        </w:rPr>
        <w:t>Lands Council v. Powell</w:t>
      </w:r>
      <w:r w:rsidR="005C25F5">
        <w:rPr>
          <w:rFonts w:ascii="Times New Roman" w:hAnsi="Times New Roman"/>
          <w:color w:val="1C1C1C"/>
        </w:rPr>
        <w:t>.</w:t>
      </w:r>
    </w:p>
    <w:p w14:paraId="6C758CD8" w14:textId="51A0B18C" w:rsidR="005C25F5" w:rsidRDefault="0098032B" w:rsidP="00D95695">
      <w:pPr>
        <w:widowControl w:val="0"/>
        <w:autoSpaceDE w:val="0"/>
        <w:autoSpaceDN w:val="0"/>
        <w:adjustRightInd w:val="0"/>
        <w:spacing w:line="360" w:lineRule="auto"/>
        <w:rPr>
          <w:rFonts w:ascii="Times New Roman" w:hAnsi="Times New Roman"/>
        </w:rPr>
      </w:pPr>
      <w:r>
        <w:rPr>
          <w:rFonts w:ascii="Times New Roman" w:hAnsi="Times New Roman"/>
          <w:color w:val="1C1C1C"/>
        </w:rPr>
        <w:tab/>
      </w:r>
      <w:r w:rsidR="005C25F5">
        <w:rPr>
          <w:rFonts w:ascii="Times New Roman" w:hAnsi="Times New Roman"/>
        </w:rPr>
        <w:t xml:space="preserve">The issue in </w:t>
      </w:r>
      <w:r w:rsidR="00362CB9">
        <w:rPr>
          <w:rFonts w:ascii="Times New Roman" w:hAnsi="Times New Roman"/>
          <w:i/>
        </w:rPr>
        <w:t xml:space="preserve">Lands Council </w:t>
      </w:r>
      <w:r w:rsidR="005C25F5">
        <w:rPr>
          <w:rFonts w:ascii="Times New Roman" w:hAnsi="Times New Roman"/>
        </w:rPr>
        <w:t>was whether the Forest Service had sufficiently described past timber harvest projects to allow the public and the courts to adequately review its EIS.</w:t>
      </w:r>
      <w:r w:rsidR="00362CB9" w:rsidRPr="00362CB9">
        <w:rPr>
          <w:rStyle w:val="FootnoteReference"/>
          <w:rFonts w:ascii="Times New Roman" w:hAnsi="Times New Roman"/>
        </w:rPr>
        <w:t xml:space="preserve"> </w:t>
      </w:r>
      <w:r w:rsidR="00362CB9">
        <w:rPr>
          <w:rStyle w:val="FootnoteReference"/>
          <w:rFonts w:ascii="Times New Roman" w:hAnsi="Times New Roman"/>
        </w:rPr>
        <w:footnoteReference w:id="65"/>
      </w:r>
      <w:r w:rsidR="005C25F5">
        <w:rPr>
          <w:rFonts w:ascii="Times New Roman" w:hAnsi="Times New Roman"/>
        </w:rPr>
        <w:t xml:space="preserve"> The court found that the EIS only “generally describe[d] past timber harvests … in the project area.”</w:t>
      </w:r>
      <w:r w:rsidR="005C25F5">
        <w:rPr>
          <w:rStyle w:val="FootnoteReference"/>
          <w:rFonts w:ascii="Times New Roman" w:hAnsi="Times New Roman"/>
        </w:rPr>
        <w:footnoteReference w:id="66"/>
      </w:r>
      <w:r w:rsidR="005C25F5">
        <w:rPr>
          <w:rFonts w:ascii="Times New Roman" w:hAnsi="Times New Roman"/>
        </w:rPr>
        <w:t xml:space="preserve"> It then noted that the EIS contained no discussion of the “environmental impact from past projects on an </w:t>
      </w:r>
      <w:r w:rsidR="005C25F5">
        <w:rPr>
          <w:rFonts w:ascii="Times New Roman" w:hAnsi="Times New Roman"/>
          <w:i/>
        </w:rPr>
        <w:t>individual</w:t>
      </w:r>
      <w:r w:rsidR="005C25F5">
        <w:rPr>
          <w:rFonts w:ascii="Times New Roman" w:hAnsi="Times New Roman"/>
        </w:rPr>
        <w:t xml:space="preserve"> basis …” that might inform the analysis.</w:t>
      </w:r>
      <w:r w:rsidR="005C25F5">
        <w:rPr>
          <w:rStyle w:val="FootnoteReference"/>
          <w:rFonts w:ascii="Times New Roman" w:hAnsi="Times New Roman"/>
        </w:rPr>
        <w:footnoteReference w:id="67"/>
      </w:r>
      <w:r w:rsidR="005C25F5">
        <w:rPr>
          <w:rFonts w:ascii="Times New Roman" w:hAnsi="Times New Roman"/>
        </w:rPr>
        <w:t xml:space="preserve"> The court held that an adequate cumulative effects discussion must include “the time, type, place, and scale of past timber harvests … in sufficient detail.”</w:t>
      </w:r>
      <w:r w:rsidR="005C25F5">
        <w:rPr>
          <w:rStyle w:val="FootnoteReference"/>
          <w:rFonts w:ascii="Times New Roman" w:hAnsi="Times New Roman"/>
        </w:rPr>
        <w:footnoteReference w:id="68"/>
      </w:r>
      <w:r w:rsidR="005C25F5">
        <w:rPr>
          <w:rFonts w:ascii="Times New Roman" w:hAnsi="Times New Roman"/>
        </w:rPr>
        <w:t xml:space="preserve"> Subsequently, the CEQ issued a guidance memorandum in response to the decision stating that an agency can “conduct an adequate cumulative effects analysis by focusing on the current aggregate effects of past actions without delving into the historical details of individual past actions.”</w:t>
      </w:r>
      <w:r w:rsidR="005C25F5">
        <w:rPr>
          <w:rStyle w:val="FootnoteReference"/>
          <w:rFonts w:ascii="Times New Roman" w:hAnsi="Times New Roman"/>
        </w:rPr>
        <w:footnoteReference w:id="69"/>
      </w:r>
      <w:r w:rsidR="005C25F5">
        <w:rPr>
          <w:rFonts w:ascii="Times New Roman" w:hAnsi="Times New Roman"/>
        </w:rPr>
        <w:t xml:space="preserve"> </w:t>
      </w:r>
    </w:p>
    <w:p w14:paraId="74A922EA" w14:textId="167FB8F4" w:rsidR="005C25F5" w:rsidRDefault="005C25F5" w:rsidP="00D95695">
      <w:pPr>
        <w:widowControl w:val="0"/>
        <w:autoSpaceDE w:val="0"/>
        <w:autoSpaceDN w:val="0"/>
        <w:adjustRightInd w:val="0"/>
        <w:spacing w:line="360" w:lineRule="auto"/>
        <w:rPr>
          <w:rFonts w:ascii="Times New Roman" w:hAnsi="Times New Roman"/>
        </w:rPr>
      </w:pPr>
      <w:r>
        <w:rPr>
          <w:rFonts w:ascii="Times New Roman" w:hAnsi="Times New Roman"/>
        </w:rPr>
        <w:tab/>
        <w:t>Shortly thereafter, the 9</w:t>
      </w:r>
      <w:r>
        <w:rPr>
          <w:rFonts w:ascii="Times New Roman" w:hAnsi="Times New Roman"/>
          <w:vertAlign w:val="superscript"/>
        </w:rPr>
        <w:t>th</w:t>
      </w:r>
      <w:r>
        <w:rPr>
          <w:rFonts w:ascii="Times New Roman" w:hAnsi="Times New Roman"/>
        </w:rPr>
        <w:t xml:space="preserve"> Circuit was presented with a case that fell within the new CEQ guidance memorandum in </w:t>
      </w:r>
      <w:r>
        <w:rPr>
          <w:rFonts w:ascii="Times New Roman" w:hAnsi="Times New Roman"/>
          <w:i/>
        </w:rPr>
        <w:t>League of Wilderness Defenders v. U.S. Forest Service</w:t>
      </w:r>
      <w:r>
        <w:rPr>
          <w:rFonts w:ascii="Times New Roman" w:hAnsi="Times New Roman"/>
        </w:rPr>
        <w:t xml:space="preserve"> (“</w:t>
      </w:r>
      <w:r>
        <w:rPr>
          <w:rFonts w:ascii="Times New Roman" w:hAnsi="Times New Roman"/>
          <w:i/>
        </w:rPr>
        <w:t>LOWD</w:t>
      </w:r>
      <w:r>
        <w:rPr>
          <w:rFonts w:ascii="Times New Roman" w:hAnsi="Times New Roman"/>
        </w:rPr>
        <w:t>”).</w:t>
      </w:r>
      <w:r>
        <w:rPr>
          <w:rStyle w:val="FootnoteReference"/>
          <w:rFonts w:ascii="Times New Roman" w:hAnsi="Times New Roman"/>
        </w:rPr>
        <w:footnoteReference w:id="70"/>
      </w:r>
      <w:r>
        <w:rPr>
          <w:rFonts w:ascii="Times New Roman" w:hAnsi="Times New Roman"/>
        </w:rPr>
        <w:t xml:space="preserve"> Plaintiffs in </w:t>
      </w:r>
      <w:r>
        <w:rPr>
          <w:rFonts w:ascii="Times New Roman" w:hAnsi="Times New Roman"/>
          <w:i/>
        </w:rPr>
        <w:t>LOWD</w:t>
      </w:r>
      <w:r>
        <w:rPr>
          <w:rFonts w:ascii="Times New Roman" w:hAnsi="Times New Roman"/>
        </w:rPr>
        <w:t xml:space="preserve"> challenged the CEQ guidance memorandum, alleging that the Forest Service did not adequately discuss the cumulative effects of past actions in its EIS because it “only mention[ed] </w:t>
      </w:r>
      <w:r>
        <w:rPr>
          <w:rFonts w:ascii="Times New Roman" w:hAnsi="Times New Roman"/>
          <w:i/>
        </w:rPr>
        <w:t>one</w:t>
      </w:r>
      <w:r>
        <w:rPr>
          <w:rFonts w:ascii="Times New Roman" w:hAnsi="Times New Roman"/>
        </w:rPr>
        <w:t xml:space="preserve"> … past timber sale … and otherwise </w:t>
      </w:r>
      <w:r>
        <w:rPr>
          <w:rFonts w:ascii="Times New Roman" w:hAnsi="Times New Roman"/>
          <w:i/>
        </w:rPr>
        <w:t>generally</w:t>
      </w:r>
      <w:r>
        <w:rPr>
          <w:rFonts w:ascii="Times New Roman" w:hAnsi="Times New Roman"/>
        </w:rPr>
        <w:t xml:space="preserve"> state[d] that timber harvest occurred in the past.”</w:t>
      </w:r>
      <w:r>
        <w:rPr>
          <w:rStyle w:val="FootnoteReference"/>
          <w:rFonts w:ascii="Times New Roman" w:hAnsi="Times New Roman"/>
        </w:rPr>
        <w:footnoteReference w:id="71"/>
      </w:r>
      <w:r>
        <w:rPr>
          <w:rFonts w:ascii="Times New Roman" w:hAnsi="Times New Roman"/>
        </w:rPr>
        <w:t xml:space="preserve"> The Forest Service maintained “agencies can conduct an adequate cumulative effects analysis by focusing on the current aggregate effects of past actions.”</w:t>
      </w:r>
      <w:r>
        <w:rPr>
          <w:rStyle w:val="FootnoteReference"/>
          <w:rFonts w:ascii="Times New Roman" w:hAnsi="Times New Roman"/>
        </w:rPr>
        <w:footnoteReference w:id="72"/>
      </w:r>
      <w:r w:rsidR="00A85DDE">
        <w:rPr>
          <w:rFonts w:ascii="Times New Roman" w:hAnsi="Times New Roman"/>
        </w:rPr>
        <w:t xml:space="preserve"> The court held that t</w:t>
      </w:r>
      <w:r>
        <w:rPr>
          <w:rFonts w:ascii="Times New Roman" w:hAnsi="Times New Roman"/>
        </w:rPr>
        <w:t>he</w:t>
      </w:r>
      <w:r w:rsidR="00A85DDE">
        <w:rPr>
          <w:rFonts w:ascii="Times New Roman" w:hAnsi="Times New Roman"/>
        </w:rPr>
        <w:t xml:space="preserve"> CEQ memorandum was entitled to </w:t>
      </w:r>
      <w:r>
        <w:rPr>
          <w:rFonts w:ascii="Times New Roman" w:hAnsi="Times New Roman"/>
        </w:rPr>
        <w:t>deference</w:t>
      </w:r>
      <w:r>
        <w:rPr>
          <w:rStyle w:val="FootnoteReference"/>
          <w:rFonts w:ascii="Times New Roman" w:hAnsi="Times New Roman"/>
        </w:rPr>
        <w:footnoteReference w:id="73"/>
      </w:r>
      <w:r>
        <w:rPr>
          <w:rFonts w:ascii="Times New Roman" w:hAnsi="Times New Roman"/>
        </w:rPr>
        <w:t xml:space="preserve"> and, as a result … the Forest Service may aggregate its cumulative effects analysis pursuant to 40 C.F.R. § 1508.7.</w:t>
      </w:r>
      <w:r>
        <w:rPr>
          <w:rStyle w:val="FootnoteReference"/>
          <w:rFonts w:ascii="Times New Roman" w:hAnsi="Times New Roman"/>
        </w:rPr>
        <w:footnoteReference w:id="74"/>
      </w:r>
      <w:r>
        <w:rPr>
          <w:rFonts w:ascii="Times New Roman" w:hAnsi="Times New Roman"/>
        </w:rPr>
        <w:t xml:space="preserve"> </w:t>
      </w:r>
    </w:p>
    <w:p w14:paraId="42CBF908" w14:textId="210D5998" w:rsidR="0098032B" w:rsidRPr="001E5824" w:rsidRDefault="001E5824" w:rsidP="00D95695">
      <w:pPr>
        <w:widowControl w:val="0"/>
        <w:autoSpaceDE w:val="0"/>
        <w:autoSpaceDN w:val="0"/>
        <w:adjustRightInd w:val="0"/>
        <w:spacing w:line="360" w:lineRule="auto"/>
        <w:rPr>
          <w:rFonts w:ascii="Times New Roman" w:hAnsi="Times New Roman"/>
        </w:rPr>
      </w:pPr>
      <w:r>
        <w:rPr>
          <w:rFonts w:ascii="Times New Roman" w:hAnsi="Times New Roman"/>
        </w:rPr>
        <w:tab/>
        <w:t>The court also stress</w:t>
      </w:r>
      <w:r w:rsidR="005C25F5">
        <w:rPr>
          <w:rFonts w:ascii="Times New Roman" w:hAnsi="Times New Roman"/>
        </w:rPr>
        <w:t xml:space="preserve">ed that the plaintiffs had incorrectly interpreted the </w:t>
      </w:r>
      <w:r w:rsidR="005C25F5">
        <w:rPr>
          <w:rFonts w:ascii="Times New Roman" w:hAnsi="Times New Roman"/>
          <w:i/>
        </w:rPr>
        <w:t xml:space="preserve">Lands Council </w:t>
      </w:r>
      <w:r w:rsidR="005C25F5">
        <w:rPr>
          <w:rFonts w:ascii="Times New Roman" w:hAnsi="Times New Roman"/>
        </w:rPr>
        <w:t>decision to mean that an adequate cumulative effects analysis requires “a complete cataloguing of all prior timber sales in all cases … .”</w:t>
      </w:r>
      <w:r w:rsidR="005C25F5">
        <w:rPr>
          <w:rStyle w:val="FootnoteReference"/>
          <w:rFonts w:ascii="Times New Roman" w:hAnsi="Times New Roman"/>
        </w:rPr>
        <w:footnoteReference w:id="75"/>
      </w:r>
      <w:r w:rsidR="005C25F5">
        <w:rPr>
          <w:rFonts w:ascii="Times New Roman" w:hAnsi="Times New Roman"/>
        </w:rPr>
        <w:t xml:space="preserve"> Instead, the court stated that </w:t>
      </w:r>
      <w:r w:rsidR="005C25F5">
        <w:rPr>
          <w:rFonts w:ascii="Times New Roman" w:hAnsi="Times New Roman"/>
          <w:i/>
        </w:rPr>
        <w:t xml:space="preserve">Lands Council </w:t>
      </w:r>
      <w:r w:rsidR="005C25F5">
        <w:rPr>
          <w:rFonts w:ascii="Times New Roman" w:hAnsi="Times New Roman"/>
        </w:rPr>
        <w:t xml:space="preserve">only reaffirmed the general rule that “NEPA requires adequate cataloguing of </w:t>
      </w:r>
      <w:r w:rsidR="005C25F5">
        <w:rPr>
          <w:rFonts w:ascii="Times New Roman" w:hAnsi="Times New Roman"/>
          <w:i/>
        </w:rPr>
        <w:t>relevant</w:t>
      </w:r>
      <w:r w:rsidR="005C25F5">
        <w:rPr>
          <w:rFonts w:ascii="Times New Roman" w:hAnsi="Times New Roman"/>
        </w:rPr>
        <w:t xml:space="preserve"> past projects in the area” which, “comports with … NEPA’s purpose of ‘concentrating on the issues that are truly significant to the action in question.’”</w:t>
      </w:r>
      <w:r w:rsidR="005C25F5">
        <w:rPr>
          <w:rStyle w:val="FootnoteReference"/>
          <w:rFonts w:ascii="Times New Roman" w:hAnsi="Times New Roman"/>
        </w:rPr>
        <w:footnoteReference w:id="76"/>
      </w:r>
      <w:r w:rsidR="005C25F5">
        <w:rPr>
          <w:rFonts w:ascii="Times New Roman" w:hAnsi="Times New Roman"/>
        </w:rPr>
        <w:t xml:space="preserve">  </w:t>
      </w:r>
      <w:r w:rsidR="005C25F5">
        <w:rPr>
          <w:rFonts w:ascii="Times New Roman" w:hAnsi="Times New Roman"/>
          <w:iCs/>
        </w:rPr>
        <w:t xml:space="preserve">The </w:t>
      </w:r>
      <w:r w:rsidR="005C25F5">
        <w:rPr>
          <w:rFonts w:ascii="Times New Roman" w:hAnsi="Times New Roman"/>
          <w:i/>
          <w:iCs/>
        </w:rPr>
        <w:t>LOWD</w:t>
      </w:r>
      <w:r w:rsidR="005C25F5">
        <w:rPr>
          <w:rFonts w:ascii="Times New Roman" w:hAnsi="Times New Roman"/>
          <w:iCs/>
        </w:rPr>
        <w:t xml:space="preserve"> court concluded that the “Forest Service is free to consider cumulative effects in the aggregate or to use any other procedure it deems appropriate.”</w:t>
      </w:r>
      <w:r w:rsidR="005C25F5">
        <w:rPr>
          <w:rStyle w:val="FootnoteReference"/>
          <w:rFonts w:ascii="Times New Roman" w:hAnsi="Times New Roman"/>
          <w:iCs/>
        </w:rPr>
        <w:footnoteReference w:id="77"/>
      </w:r>
      <w:r w:rsidR="005C25F5">
        <w:rPr>
          <w:rFonts w:ascii="Times New Roman" w:hAnsi="Times New Roman"/>
        </w:rPr>
        <w:t xml:space="preserve"> </w:t>
      </w:r>
    </w:p>
    <w:p w14:paraId="241C26C2" w14:textId="4DECB5F7" w:rsidR="00EE32A2" w:rsidRDefault="00AF529F" w:rsidP="00D95695">
      <w:pPr>
        <w:widowControl w:val="0"/>
        <w:autoSpaceDE w:val="0"/>
        <w:autoSpaceDN w:val="0"/>
        <w:adjustRightInd w:val="0"/>
        <w:spacing w:line="360" w:lineRule="auto"/>
        <w:ind w:firstLine="720"/>
        <w:rPr>
          <w:rFonts w:ascii="Times New Roman" w:hAnsi="Times New Roman"/>
          <w:color w:val="1C1C1C"/>
        </w:rPr>
      </w:pPr>
      <w:r>
        <w:rPr>
          <w:rFonts w:ascii="Times New Roman" w:hAnsi="Times New Roman"/>
          <w:color w:val="1C1C1C"/>
        </w:rPr>
        <w:t xml:space="preserve"> The</w:t>
      </w:r>
      <w:r w:rsidR="005C25F5">
        <w:rPr>
          <w:rFonts w:ascii="Times New Roman" w:hAnsi="Times New Roman"/>
          <w:color w:val="1C1C1C"/>
        </w:rPr>
        <w:t xml:space="preserve"> </w:t>
      </w:r>
      <w:r w:rsidR="005C25F5">
        <w:rPr>
          <w:rFonts w:ascii="Times New Roman" w:hAnsi="Times New Roman"/>
          <w:i/>
          <w:color w:val="1C1C1C"/>
        </w:rPr>
        <w:t>CELP</w:t>
      </w:r>
      <w:r>
        <w:rPr>
          <w:rFonts w:ascii="Times New Roman" w:hAnsi="Times New Roman"/>
          <w:color w:val="1C1C1C"/>
        </w:rPr>
        <w:t xml:space="preserve"> </w:t>
      </w:r>
      <w:r w:rsidR="005C25F5">
        <w:rPr>
          <w:rFonts w:ascii="Times New Roman" w:hAnsi="Times New Roman"/>
          <w:color w:val="1C1C1C"/>
        </w:rPr>
        <w:t>court</w:t>
      </w:r>
      <w:r w:rsidR="00BC24AF">
        <w:rPr>
          <w:rFonts w:ascii="Times New Roman" w:hAnsi="Times New Roman"/>
          <w:color w:val="1C1C1C"/>
        </w:rPr>
        <w:t xml:space="preserve"> specifically applied the </w:t>
      </w:r>
      <w:r w:rsidR="00BC24AF" w:rsidRPr="00BC24AF">
        <w:rPr>
          <w:rFonts w:ascii="Times New Roman" w:hAnsi="Times New Roman"/>
          <w:i/>
          <w:color w:val="1C1C1C"/>
        </w:rPr>
        <w:t>LOWD</w:t>
      </w:r>
      <w:r>
        <w:rPr>
          <w:rFonts w:ascii="Times New Roman" w:hAnsi="Times New Roman"/>
          <w:color w:val="1C1C1C"/>
        </w:rPr>
        <w:t xml:space="preserve"> jurisprudence</w:t>
      </w:r>
      <w:r w:rsidR="00EE32A2">
        <w:rPr>
          <w:rFonts w:ascii="Times New Roman" w:hAnsi="Times New Roman"/>
          <w:color w:val="1C1C1C"/>
        </w:rPr>
        <w:t xml:space="preserve"> to the cumulative effect of </w:t>
      </w:r>
      <w:r>
        <w:rPr>
          <w:rFonts w:ascii="Times New Roman" w:hAnsi="Times New Roman"/>
          <w:color w:val="1C1C1C"/>
        </w:rPr>
        <w:t xml:space="preserve">the </w:t>
      </w:r>
      <w:r w:rsidR="00EE32A2">
        <w:rPr>
          <w:rFonts w:ascii="Times New Roman" w:hAnsi="Times New Roman"/>
          <w:i/>
          <w:color w:val="1C1C1C"/>
        </w:rPr>
        <w:t>past</w:t>
      </w:r>
      <w:r w:rsidR="00EE32A2">
        <w:rPr>
          <w:rFonts w:ascii="Times New Roman" w:hAnsi="Times New Roman"/>
          <w:color w:val="1C1C1C"/>
        </w:rPr>
        <w:t xml:space="preserve"> projects</w:t>
      </w:r>
      <w:r>
        <w:rPr>
          <w:rFonts w:ascii="Times New Roman" w:hAnsi="Times New Roman"/>
          <w:color w:val="1C1C1C"/>
        </w:rPr>
        <w:t xml:space="preserve"> at issue</w:t>
      </w:r>
      <w:r w:rsidR="00BC24AF">
        <w:rPr>
          <w:rFonts w:ascii="Times New Roman" w:hAnsi="Times New Roman"/>
          <w:color w:val="1C1C1C"/>
        </w:rPr>
        <w:t>.</w:t>
      </w:r>
      <w:r w:rsidR="00BC24AF" w:rsidRPr="00BC24AF">
        <w:rPr>
          <w:rStyle w:val="FootnoteReference"/>
          <w:rFonts w:ascii="Times New Roman" w:hAnsi="Times New Roman"/>
          <w:color w:val="1C1C1C"/>
        </w:rPr>
        <w:t xml:space="preserve"> </w:t>
      </w:r>
      <w:r w:rsidR="00BC24AF">
        <w:rPr>
          <w:rStyle w:val="FootnoteReference"/>
          <w:rFonts w:ascii="Times New Roman" w:hAnsi="Times New Roman"/>
          <w:color w:val="1C1C1C"/>
        </w:rPr>
        <w:footnoteReference w:id="78"/>
      </w:r>
      <w:r w:rsidR="00BC24AF">
        <w:rPr>
          <w:rFonts w:ascii="Times New Roman" w:hAnsi="Times New Roman"/>
          <w:color w:val="1C1C1C"/>
        </w:rPr>
        <w:t xml:space="preserve">  The court quickly </w:t>
      </w:r>
      <w:r w:rsidR="00EE32A2">
        <w:rPr>
          <w:rFonts w:ascii="Times New Roman" w:hAnsi="Times New Roman"/>
          <w:color w:val="1C1C1C"/>
        </w:rPr>
        <w:t>recognized that the section of the EA addressing cumulative effects ne</w:t>
      </w:r>
      <w:r>
        <w:rPr>
          <w:rFonts w:ascii="Times New Roman" w:hAnsi="Times New Roman"/>
          <w:color w:val="1C1C1C"/>
        </w:rPr>
        <w:t>ver rose</w:t>
      </w:r>
      <w:r w:rsidR="00BC24AF">
        <w:rPr>
          <w:rFonts w:ascii="Times New Roman" w:hAnsi="Times New Roman"/>
          <w:color w:val="1C1C1C"/>
        </w:rPr>
        <w:t xml:space="preserve"> above “vague generalities,</w:t>
      </w:r>
      <w:r w:rsidR="00EE32A2">
        <w:rPr>
          <w:rFonts w:ascii="Times New Roman" w:hAnsi="Times New Roman"/>
          <w:color w:val="1C1C1C"/>
        </w:rPr>
        <w:t>”</w:t>
      </w:r>
      <w:r w:rsidR="00BC24AF">
        <w:rPr>
          <w:rFonts w:ascii="Times New Roman" w:hAnsi="Times New Roman"/>
          <w:color w:val="1C1C1C"/>
        </w:rPr>
        <w:t xml:space="preserve"> however,</w:t>
      </w:r>
      <w:r>
        <w:rPr>
          <w:rFonts w:ascii="Times New Roman" w:hAnsi="Times New Roman"/>
          <w:color w:val="1C1C1C"/>
        </w:rPr>
        <w:t xml:space="preserve"> </w:t>
      </w:r>
      <w:r w:rsidR="00BC24AF">
        <w:rPr>
          <w:rFonts w:ascii="Times New Roman" w:hAnsi="Times New Roman"/>
          <w:color w:val="1C1C1C"/>
        </w:rPr>
        <w:t xml:space="preserve">it </w:t>
      </w:r>
      <w:r w:rsidR="00EE32A2">
        <w:rPr>
          <w:rFonts w:ascii="Times New Roman" w:hAnsi="Times New Roman"/>
          <w:color w:val="1C1C1C"/>
        </w:rPr>
        <w:t>went on to state that “[t]he perfunctory discussion in the ‘Cumulati</w:t>
      </w:r>
      <w:r w:rsidR="00BC24AF">
        <w:rPr>
          <w:rFonts w:ascii="Times New Roman" w:hAnsi="Times New Roman"/>
          <w:color w:val="1C1C1C"/>
        </w:rPr>
        <w:t>ve Impacts’ section … is not</w:t>
      </w:r>
      <w:r w:rsidR="00EE32A2">
        <w:rPr>
          <w:rFonts w:ascii="Times New Roman" w:hAnsi="Times New Roman"/>
          <w:color w:val="1C1C1C"/>
        </w:rPr>
        <w:t xml:space="preserve"> reflective of Reclamation's overall approach.”</w:t>
      </w:r>
      <w:r w:rsidR="00BC24AF">
        <w:rPr>
          <w:rStyle w:val="FootnoteReference"/>
          <w:rFonts w:ascii="Times New Roman" w:hAnsi="Times New Roman"/>
          <w:color w:val="1C1C1C"/>
        </w:rPr>
        <w:footnoteReference w:id="79"/>
      </w:r>
      <w:r w:rsidR="00EE32A2">
        <w:rPr>
          <w:rFonts w:ascii="Times New Roman" w:hAnsi="Times New Roman"/>
          <w:color w:val="1C1C1C"/>
        </w:rPr>
        <w:t xml:space="preserve"> The analysis of “various effects </w:t>
      </w:r>
      <w:r w:rsidR="00EE32A2">
        <w:rPr>
          <w:rFonts w:ascii="Times New Roman" w:hAnsi="Times New Roman"/>
          <w:i/>
          <w:color w:val="1C1C1C"/>
        </w:rPr>
        <w:t>in other portions of the EA</w:t>
      </w:r>
      <w:r w:rsidR="00EE32A2">
        <w:rPr>
          <w:rFonts w:ascii="Times New Roman" w:hAnsi="Times New Roman"/>
          <w:color w:val="1C1C1C"/>
        </w:rPr>
        <w:t xml:space="preserve"> displays sensitivity to, and consideration of, the multitude of changes previously wrought by mankind on the Columbia River Basin.”</w:t>
      </w:r>
      <w:r w:rsidR="00EE32A2">
        <w:rPr>
          <w:rStyle w:val="FootnoteReference"/>
          <w:rFonts w:ascii="Times New Roman" w:hAnsi="Times New Roman"/>
          <w:color w:val="1C1C1C"/>
        </w:rPr>
        <w:footnoteReference w:id="80"/>
      </w:r>
    </w:p>
    <w:p w14:paraId="06305774" w14:textId="65B03A57" w:rsidR="00EE32A2" w:rsidRDefault="00EE32A2" w:rsidP="00D95695">
      <w:pPr>
        <w:widowControl w:val="0"/>
        <w:autoSpaceDE w:val="0"/>
        <w:autoSpaceDN w:val="0"/>
        <w:adjustRightInd w:val="0"/>
        <w:spacing w:line="360" w:lineRule="auto"/>
        <w:rPr>
          <w:rFonts w:ascii="Times New Roman" w:hAnsi="Times New Roman"/>
          <w:color w:val="1C1C1C"/>
        </w:rPr>
      </w:pPr>
      <w:r>
        <w:rPr>
          <w:rFonts w:ascii="Times New Roman" w:hAnsi="Times New Roman"/>
          <w:color w:val="1C1C1C"/>
        </w:rPr>
        <w:tab/>
        <w:t>To support its rationale, the court exhaustively examined other parts of the EA for evidenc</w:t>
      </w:r>
      <w:r w:rsidR="00BF7B1D">
        <w:rPr>
          <w:rFonts w:ascii="Times New Roman" w:hAnsi="Times New Roman"/>
          <w:color w:val="1C1C1C"/>
        </w:rPr>
        <w:t>e that the Bureau of Reclamation</w:t>
      </w:r>
      <w:r>
        <w:rPr>
          <w:rFonts w:ascii="Times New Roman" w:hAnsi="Times New Roman"/>
          <w:color w:val="1C1C1C"/>
        </w:rPr>
        <w:t xml:space="preserve"> analyzed the cumulative effect of past projects.</w:t>
      </w:r>
      <w:r>
        <w:rPr>
          <w:rStyle w:val="FootnoteReference"/>
          <w:rFonts w:ascii="Times New Roman" w:hAnsi="Times New Roman"/>
          <w:color w:val="1C1C1C"/>
        </w:rPr>
        <w:footnoteReference w:id="81"/>
      </w:r>
      <w:r>
        <w:rPr>
          <w:rFonts w:ascii="Times New Roman" w:hAnsi="Times New Roman"/>
          <w:color w:val="1C1C1C"/>
        </w:rPr>
        <w:t xml:space="preserve"> It found that “[t]he record include[d</w:t>
      </w:r>
      <w:r w:rsidR="00BF7B1D">
        <w:rPr>
          <w:rFonts w:ascii="Times New Roman" w:hAnsi="Times New Roman"/>
          <w:color w:val="1C1C1C"/>
        </w:rPr>
        <w:t xml:space="preserve">] extensive evidence that the [bureau] </w:t>
      </w:r>
      <w:r>
        <w:rPr>
          <w:rFonts w:ascii="Times New Roman" w:hAnsi="Times New Roman"/>
          <w:color w:val="1C1C1C"/>
        </w:rPr>
        <w:t>considered the relevant prior actions and took the requisite hard look before approving the drawdown project.”</w:t>
      </w:r>
      <w:r>
        <w:rPr>
          <w:rStyle w:val="FootnoteReference"/>
          <w:rFonts w:ascii="Times New Roman" w:hAnsi="Times New Roman"/>
          <w:color w:val="1C1C1C"/>
        </w:rPr>
        <w:footnoteReference w:id="82"/>
      </w:r>
      <w:r>
        <w:rPr>
          <w:rFonts w:ascii="Times New Roman" w:hAnsi="Times New Roman"/>
          <w:color w:val="1C1C1C"/>
        </w:rPr>
        <w:t xml:space="preserve"> </w:t>
      </w:r>
      <w:r w:rsidR="00765734">
        <w:rPr>
          <w:rFonts w:ascii="Times New Roman" w:hAnsi="Times New Roman"/>
          <w:color w:val="1C1C1C"/>
        </w:rPr>
        <w:t>In doing so, the court announced three new guidelines to consider when reviewing</w:t>
      </w:r>
      <w:r w:rsidR="00F220F5">
        <w:rPr>
          <w:rFonts w:ascii="Times New Roman" w:hAnsi="Times New Roman"/>
          <w:color w:val="1C1C1C"/>
        </w:rPr>
        <w:t xml:space="preserve"> aggregate</w:t>
      </w:r>
      <w:r w:rsidR="00765734">
        <w:rPr>
          <w:rFonts w:ascii="Times New Roman" w:hAnsi="Times New Roman"/>
          <w:color w:val="1C1C1C"/>
        </w:rPr>
        <w:t xml:space="preserve"> past cumulative effects analyse</w:t>
      </w:r>
      <w:r w:rsidR="00F220F5">
        <w:rPr>
          <w:rFonts w:ascii="Times New Roman" w:hAnsi="Times New Roman"/>
          <w:color w:val="1C1C1C"/>
        </w:rPr>
        <w:t>s</w:t>
      </w:r>
      <w:r w:rsidR="00765734">
        <w:rPr>
          <w:rFonts w:ascii="Times New Roman" w:hAnsi="Times New Roman"/>
          <w:color w:val="1C1C1C"/>
        </w:rPr>
        <w:t>.</w:t>
      </w:r>
      <w:r>
        <w:rPr>
          <w:rFonts w:ascii="Times New Roman" w:hAnsi="Times New Roman"/>
          <w:color w:val="1C1C1C"/>
        </w:rPr>
        <w:t xml:space="preserve"> </w:t>
      </w:r>
      <w:r w:rsidR="00765734">
        <w:rPr>
          <w:rFonts w:ascii="Times New Roman" w:hAnsi="Times New Roman"/>
          <w:color w:val="1C1C1C"/>
        </w:rPr>
        <w:t>.</w:t>
      </w:r>
      <w:r w:rsidR="00765734">
        <w:rPr>
          <w:rStyle w:val="FootnoteReference"/>
          <w:rFonts w:ascii="Times New Roman" w:hAnsi="Times New Roman"/>
          <w:color w:val="1C1C1C"/>
        </w:rPr>
        <w:footnoteReference w:id="83"/>
      </w:r>
      <w:r w:rsidR="00765734">
        <w:rPr>
          <w:rFonts w:ascii="Times New Roman" w:hAnsi="Times New Roman"/>
          <w:color w:val="1C1C1C"/>
        </w:rPr>
        <w:t xml:space="preserve"> First, does the analysis explain both “the existing condition of the area” and “what the effects of the project would be”?</w:t>
      </w:r>
      <w:r w:rsidR="00765734">
        <w:rPr>
          <w:rStyle w:val="FootnoteReference"/>
          <w:rFonts w:ascii="Times New Roman" w:hAnsi="Times New Roman"/>
          <w:color w:val="1C1C1C"/>
        </w:rPr>
        <w:footnoteReference w:id="84"/>
      </w:r>
      <w:r w:rsidR="00765734">
        <w:rPr>
          <w:rFonts w:ascii="Times New Roman" w:hAnsi="Times New Roman"/>
          <w:color w:val="1C1C1C"/>
        </w:rPr>
        <w:t xml:space="preserve"> Second, does is discuss the past projects “necessary to describe the cumulative effect of all past actions combined”?</w:t>
      </w:r>
      <w:r w:rsidR="00765734">
        <w:rPr>
          <w:rStyle w:val="FootnoteReference"/>
          <w:rFonts w:ascii="Times New Roman" w:hAnsi="Times New Roman"/>
          <w:color w:val="1C1C1C"/>
        </w:rPr>
        <w:footnoteReference w:id="85"/>
      </w:r>
      <w:r w:rsidR="00765734">
        <w:rPr>
          <w:rFonts w:ascii="Times New Roman" w:hAnsi="Times New Roman"/>
          <w:color w:val="1C1C1C"/>
        </w:rPr>
        <w:t xml:space="preserve"> And finally, does it “rely on quantified or detailed in formation” to “assess the impact of the … project against the … aggregate of all past projects” </w:t>
      </w:r>
      <w:r w:rsidR="00085144">
        <w:rPr>
          <w:rFonts w:ascii="Times New Roman" w:hAnsi="Times New Roman"/>
          <w:color w:val="1C1C1C"/>
        </w:rPr>
        <w:t xml:space="preserve">If </w:t>
      </w:r>
      <w:r w:rsidR="00085144">
        <w:rPr>
          <w:rFonts w:ascii="Times New Roman" w:hAnsi="Times New Roman"/>
          <w:i/>
          <w:color w:val="1C1C1C"/>
        </w:rPr>
        <w:t>the record</w:t>
      </w:r>
      <w:r w:rsidR="00085144">
        <w:rPr>
          <w:rFonts w:ascii="Times New Roman" w:hAnsi="Times New Roman"/>
          <w:color w:val="1C1C1C"/>
        </w:rPr>
        <w:t xml:space="preserve"> demonstrates an agency has fulfilled the guidelines, then the court concluded</w:t>
      </w:r>
      <w:r w:rsidR="001E5824">
        <w:rPr>
          <w:rFonts w:ascii="Times New Roman" w:hAnsi="Times New Roman"/>
          <w:color w:val="1C1C1C"/>
        </w:rPr>
        <w:t xml:space="preserve"> </w:t>
      </w:r>
      <w:r>
        <w:rPr>
          <w:rFonts w:ascii="Times New Roman" w:hAnsi="Times New Roman"/>
          <w:color w:val="1C1C1C"/>
        </w:rPr>
        <w:t>that it would “impermissibly elevate form over substance to hold that Reclamation must replicate its entire analysis under the heading of cumulative effects.”</w:t>
      </w:r>
      <w:r>
        <w:rPr>
          <w:rStyle w:val="FootnoteReference"/>
          <w:rFonts w:ascii="Times New Roman" w:hAnsi="Times New Roman"/>
          <w:color w:val="1C1C1C"/>
        </w:rPr>
        <w:footnoteReference w:id="86"/>
      </w:r>
      <w:r>
        <w:rPr>
          <w:rFonts w:ascii="Times New Roman" w:hAnsi="Times New Roman"/>
          <w:color w:val="1C1C1C"/>
        </w:rPr>
        <w:t xml:space="preserve"> </w:t>
      </w:r>
    </w:p>
    <w:p w14:paraId="0797B6B0" w14:textId="77777777" w:rsidR="00EE32A2" w:rsidRDefault="00EE32A2" w:rsidP="00D95695">
      <w:pPr>
        <w:widowControl w:val="0"/>
        <w:autoSpaceDE w:val="0"/>
        <w:autoSpaceDN w:val="0"/>
        <w:adjustRightInd w:val="0"/>
        <w:spacing w:line="360" w:lineRule="auto"/>
        <w:ind w:right="432"/>
        <w:jc w:val="both"/>
        <w:rPr>
          <w:rFonts w:ascii="Times New Roman" w:hAnsi="Times New Roman"/>
          <w:color w:val="1C1C1C"/>
        </w:rPr>
      </w:pPr>
    </w:p>
    <w:p w14:paraId="62484498" w14:textId="77777777" w:rsidR="00EE32A2" w:rsidRDefault="00EE32A2" w:rsidP="00D95695">
      <w:pPr>
        <w:widowControl w:val="0"/>
        <w:autoSpaceDE w:val="0"/>
        <w:autoSpaceDN w:val="0"/>
        <w:adjustRightInd w:val="0"/>
        <w:spacing w:line="360" w:lineRule="auto"/>
        <w:ind w:right="432"/>
        <w:jc w:val="center"/>
        <w:rPr>
          <w:rFonts w:ascii="Times New Roman" w:hAnsi="Times New Roman"/>
          <w:color w:val="1C1C1C"/>
        </w:rPr>
      </w:pPr>
      <w:r>
        <w:rPr>
          <w:rFonts w:ascii="Times New Roman" w:hAnsi="Times New Roman"/>
          <w:color w:val="1C1C1C"/>
        </w:rPr>
        <w:t>III. Analysis</w:t>
      </w:r>
    </w:p>
    <w:p w14:paraId="097C6013" w14:textId="77777777" w:rsidR="00EE32A2" w:rsidRDefault="00EE32A2" w:rsidP="00D95695">
      <w:pPr>
        <w:widowControl w:val="0"/>
        <w:autoSpaceDE w:val="0"/>
        <w:autoSpaceDN w:val="0"/>
        <w:adjustRightInd w:val="0"/>
        <w:spacing w:line="360" w:lineRule="auto"/>
        <w:ind w:right="432"/>
        <w:rPr>
          <w:rFonts w:ascii="Times New Roman" w:hAnsi="Times New Roman"/>
          <w:color w:val="1C1C1C"/>
        </w:rPr>
      </w:pPr>
    </w:p>
    <w:p w14:paraId="037E7F1D" w14:textId="3DC364D3" w:rsidR="00EE32A2" w:rsidRDefault="00EE32A2" w:rsidP="00D95695">
      <w:pPr>
        <w:widowControl w:val="0"/>
        <w:autoSpaceDE w:val="0"/>
        <w:autoSpaceDN w:val="0"/>
        <w:adjustRightInd w:val="0"/>
        <w:spacing w:line="360" w:lineRule="auto"/>
        <w:rPr>
          <w:rFonts w:ascii="Times New Roman" w:hAnsi="Times New Roman"/>
        </w:rPr>
      </w:pPr>
      <w:r>
        <w:rPr>
          <w:rFonts w:ascii="Times New Roman" w:hAnsi="Times New Roman"/>
          <w:color w:val="1C1C1C"/>
        </w:rPr>
        <w:tab/>
        <w:t xml:space="preserve">The </w:t>
      </w:r>
      <w:r>
        <w:rPr>
          <w:rFonts w:ascii="Times New Roman" w:hAnsi="Times New Roman"/>
          <w:i/>
          <w:color w:val="1C1C1C"/>
        </w:rPr>
        <w:t xml:space="preserve">Friends </w:t>
      </w:r>
      <w:r>
        <w:rPr>
          <w:rFonts w:ascii="Times New Roman" w:hAnsi="Times New Roman"/>
          <w:color w:val="1C1C1C"/>
        </w:rPr>
        <w:t>court</w:t>
      </w:r>
      <w:r>
        <w:rPr>
          <w:rFonts w:ascii="Times New Roman" w:hAnsi="Times New Roman"/>
          <w:i/>
          <w:color w:val="1C1C1C"/>
        </w:rPr>
        <w:t xml:space="preserve"> </w:t>
      </w:r>
      <w:r w:rsidR="006B18FC">
        <w:rPr>
          <w:rFonts w:ascii="Times New Roman" w:hAnsi="Times New Roman"/>
          <w:color w:val="1C1C1C"/>
        </w:rPr>
        <w:t xml:space="preserve">incorrectly </w:t>
      </w:r>
      <w:r>
        <w:rPr>
          <w:rFonts w:ascii="Times New Roman" w:hAnsi="Times New Roman"/>
          <w:color w:val="1C1C1C"/>
        </w:rPr>
        <w:t>granted plaintiff’s motion for summary judgment regarding the Forest Service’s analysis of the cumulative effects of past actions on lynx.</w:t>
      </w:r>
      <w:r>
        <w:rPr>
          <w:rStyle w:val="FootnoteReference"/>
          <w:rFonts w:ascii="Times New Roman" w:hAnsi="Times New Roman"/>
          <w:color w:val="1C1C1C"/>
        </w:rPr>
        <w:footnoteReference w:id="87"/>
      </w:r>
      <w:r>
        <w:rPr>
          <w:rFonts w:ascii="Times New Roman" w:hAnsi="Times New Roman"/>
          <w:color w:val="1C1C1C"/>
        </w:rPr>
        <w:t xml:space="preserve">  A party is entitled to summary judgment if it can demonstrate “that there is no genuine dispute as to any material fact and the movant is entitled to judgment as a matter of law.”</w:t>
      </w:r>
      <w:r>
        <w:rPr>
          <w:rStyle w:val="FootnoteReference"/>
          <w:rFonts w:ascii="Times New Roman" w:hAnsi="Times New Roman"/>
          <w:color w:val="1C1C1C"/>
        </w:rPr>
        <w:footnoteReference w:id="88"/>
      </w:r>
      <w:r>
        <w:rPr>
          <w:rFonts w:ascii="Times New Roman" w:hAnsi="Times New Roman"/>
          <w:color w:val="1C1C1C"/>
        </w:rPr>
        <w:t xml:space="preserve"> The issue is thus purely legal: did the district court correctly apply the law? Courts </w:t>
      </w:r>
      <w:r>
        <w:rPr>
          <w:rFonts w:ascii="Times New Roman" w:hAnsi="Times New Roman"/>
        </w:rPr>
        <w:t>must uphold an agency's action “unless it is ‘arbitrary, capricious, an abuse of discretion, or otherwise not in accordance with law.’”</w:t>
      </w:r>
      <w:r>
        <w:rPr>
          <w:rStyle w:val="FootnoteReference"/>
          <w:rFonts w:ascii="Times New Roman" w:hAnsi="Times New Roman"/>
        </w:rPr>
        <w:footnoteReference w:id="89"/>
      </w:r>
      <w:r>
        <w:rPr>
          <w:rFonts w:ascii="Times New Roman" w:hAnsi="Times New Roman"/>
        </w:rPr>
        <w:t xml:space="preserve"> Review is “limited to the question of whether the agency took a ‘hard look’ at the proposed action as required by a strict reading of NEPA's procedural requirements.”</w:t>
      </w:r>
      <w:r>
        <w:rPr>
          <w:rStyle w:val="FootnoteReference"/>
          <w:rFonts w:ascii="Times New Roman" w:hAnsi="Times New Roman"/>
        </w:rPr>
        <w:footnoteReference w:id="90"/>
      </w:r>
      <w:r>
        <w:rPr>
          <w:rFonts w:ascii="Times New Roman" w:hAnsi="Times New Roman"/>
        </w:rPr>
        <w:t xml:space="preserve"> Therefore, the court must defer to any agency decision that is “fully informed and well-considered,” but must not overlook “a clear error of judgment.”</w:t>
      </w:r>
      <w:r>
        <w:rPr>
          <w:rStyle w:val="FootnoteReference"/>
          <w:rFonts w:ascii="Times New Roman" w:hAnsi="Times New Roman"/>
        </w:rPr>
        <w:footnoteReference w:id="91"/>
      </w:r>
      <w:r>
        <w:rPr>
          <w:rFonts w:ascii="Times New Roman" w:hAnsi="Times New Roman"/>
        </w:rPr>
        <w:t xml:space="preserve"> </w:t>
      </w:r>
    </w:p>
    <w:p w14:paraId="418F8D27" w14:textId="3F5E7160" w:rsidR="00F424F7" w:rsidRPr="004070F0" w:rsidRDefault="00EE32A2" w:rsidP="00D95695">
      <w:pPr>
        <w:widowControl w:val="0"/>
        <w:autoSpaceDE w:val="0"/>
        <w:autoSpaceDN w:val="0"/>
        <w:adjustRightInd w:val="0"/>
        <w:spacing w:line="360" w:lineRule="auto"/>
        <w:rPr>
          <w:rFonts w:ascii="Times New Roman" w:hAnsi="Times New Roman"/>
        </w:rPr>
      </w:pPr>
      <w:r>
        <w:rPr>
          <w:rFonts w:ascii="Times New Roman" w:hAnsi="Times New Roman"/>
          <w:color w:val="1C1C1C"/>
        </w:rPr>
        <w:tab/>
        <w:t xml:space="preserve">In </w:t>
      </w:r>
      <w:r>
        <w:rPr>
          <w:rFonts w:ascii="Times New Roman" w:hAnsi="Times New Roman"/>
          <w:i/>
          <w:color w:val="1C1C1C"/>
        </w:rPr>
        <w:t xml:space="preserve">Friends, </w:t>
      </w:r>
      <w:r>
        <w:rPr>
          <w:rFonts w:ascii="Times New Roman" w:hAnsi="Times New Roman"/>
          <w:color w:val="1C1C1C"/>
        </w:rPr>
        <w:t xml:space="preserve">the court </w:t>
      </w:r>
      <w:r w:rsidR="00AF529F">
        <w:rPr>
          <w:rFonts w:ascii="Times New Roman" w:hAnsi="Times New Roman"/>
          <w:color w:val="1C1C1C"/>
        </w:rPr>
        <w:t>began its review</w:t>
      </w:r>
      <w:r w:rsidR="00F424F7">
        <w:rPr>
          <w:rFonts w:ascii="Times New Roman" w:hAnsi="Times New Roman"/>
          <w:color w:val="1C1C1C"/>
        </w:rPr>
        <w:t xml:space="preserve"> of </w:t>
      </w:r>
      <w:r w:rsidR="00D9777A">
        <w:rPr>
          <w:rFonts w:ascii="Times New Roman" w:hAnsi="Times New Roman"/>
          <w:color w:val="1C1C1C"/>
        </w:rPr>
        <w:t xml:space="preserve">whether the Forest Service’s </w:t>
      </w:r>
      <w:r w:rsidR="00530A22">
        <w:rPr>
          <w:rFonts w:ascii="Times New Roman" w:hAnsi="Times New Roman"/>
          <w:color w:val="1C1C1C"/>
        </w:rPr>
        <w:t>sufficiently analyzed</w:t>
      </w:r>
      <w:r w:rsidR="00D9777A">
        <w:rPr>
          <w:rFonts w:ascii="Times New Roman" w:hAnsi="Times New Roman"/>
          <w:color w:val="1C1C1C"/>
        </w:rPr>
        <w:t xml:space="preserve"> the cumulative effect</w:t>
      </w:r>
      <w:r w:rsidR="00F424F7">
        <w:rPr>
          <w:rFonts w:ascii="Times New Roman" w:hAnsi="Times New Roman"/>
          <w:color w:val="1C1C1C"/>
        </w:rPr>
        <w:t xml:space="preserve"> </w:t>
      </w:r>
      <w:r w:rsidR="00D9777A">
        <w:rPr>
          <w:rFonts w:ascii="Times New Roman" w:hAnsi="Times New Roman"/>
          <w:color w:val="1C1C1C"/>
        </w:rPr>
        <w:t>of past projects</w:t>
      </w:r>
      <w:r w:rsidR="00F567AA">
        <w:rPr>
          <w:rFonts w:ascii="Times New Roman" w:hAnsi="Times New Roman"/>
          <w:color w:val="1C1C1C"/>
        </w:rPr>
        <w:t xml:space="preserve"> on lynx</w:t>
      </w:r>
      <w:r w:rsidR="00530A22">
        <w:rPr>
          <w:rFonts w:ascii="Times New Roman" w:hAnsi="Times New Roman"/>
          <w:color w:val="1C1C1C"/>
        </w:rPr>
        <w:t xml:space="preserve"> </w:t>
      </w:r>
      <w:r w:rsidR="001E344A">
        <w:rPr>
          <w:rFonts w:ascii="Times New Roman" w:hAnsi="Times New Roman"/>
          <w:color w:val="1C1C1C"/>
        </w:rPr>
        <w:t>by relying on</w:t>
      </w:r>
      <w:r w:rsidR="00F567AA">
        <w:rPr>
          <w:rFonts w:ascii="Times New Roman" w:hAnsi="Times New Roman"/>
          <w:color w:val="1C1C1C"/>
        </w:rPr>
        <w:t xml:space="preserve"> the statement</w:t>
      </w:r>
      <w:r w:rsidR="00D9777A">
        <w:rPr>
          <w:rFonts w:ascii="Times New Roman" w:hAnsi="Times New Roman"/>
          <w:color w:val="1C1C1C"/>
        </w:rPr>
        <w:t xml:space="preserve"> from </w:t>
      </w:r>
      <w:r w:rsidR="00D9777A" w:rsidRPr="00D9777A">
        <w:rPr>
          <w:rFonts w:ascii="Times New Roman" w:hAnsi="Times New Roman"/>
          <w:i/>
          <w:color w:val="1C1C1C"/>
        </w:rPr>
        <w:t>CELP</w:t>
      </w:r>
      <w:r w:rsidR="00F567AA">
        <w:rPr>
          <w:rFonts w:ascii="Times New Roman" w:hAnsi="Times New Roman"/>
          <w:color w:val="1C1C1C"/>
        </w:rPr>
        <w:t xml:space="preserve"> that an agency must “analyze the incremental impact of the proposed project when added to other past, present and reasonably foreseeable actions within the selected geographic area.”</w:t>
      </w:r>
      <w:r w:rsidR="007F314C">
        <w:rPr>
          <w:rStyle w:val="FootnoteReference"/>
          <w:rFonts w:ascii="Times New Roman" w:hAnsi="Times New Roman"/>
          <w:color w:val="1C1C1C"/>
        </w:rPr>
        <w:footnoteReference w:id="92"/>
      </w:r>
      <w:r w:rsidR="00F567AA">
        <w:rPr>
          <w:rFonts w:ascii="Times New Roman" w:hAnsi="Times New Roman"/>
          <w:color w:val="1C1C1C"/>
        </w:rPr>
        <w:t xml:space="preserve"> </w:t>
      </w:r>
      <w:r w:rsidR="00D9777A">
        <w:rPr>
          <w:rFonts w:ascii="Times New Roman" w:hAnsi="Times New Roman"/>
        </w:rPr>
        <w:t xml:space="preserve">Then, again drawing from </w:t>
      </w:r>
      <w:r w:rsidR="00F567AA">
        <w:rPr>
          <w:rFonts w:ascii="Times New Roman" w:hAnsi="Times New Roman"/>
          <w:i/>
        </w:rPr>
        <w:t>CELP</w:t>
      </w:r>
      <w:r w:rsidR="00D9777A">
        <w:rPr>
          <w:rFonts w:ascii="Times New Roman" w:hAnsi="Times New Roman"/>
        </w:rPr>
        <w:t>, the court</w:t>
      </w:r>
      <w:r w:rsidR="00F567AA">
        <w:rPr>
          <w:rFonts w:ascii="Times New Roman" w:hAnsi="Times New Roman"/>
        </w:rPr>
        <w:t xml:space="preserve"> states “consideration of cumulative impacts requires some quantified or detailed information that results in a useful analysis, even when an agency is preparing an EA and not an EIS.”</w:t>
      </w:r>
      <w:r w:rsidR="007F314C">
        <w:rPr>
          <w:rStyle w:val="FootnoteReference"/>
          <w:rFonts w:ascii="Times New Roman" w:hAnsi="Times New Roman"/>
        </w:rPr>
        <w:footnoteReference w:id="93"/>
      </w:r>
      <w:r w:rsidR="00F567AA">
        <w:rPr>
          <w:rFonts w:ascii="Times New Roman" w:hAnsi="Times New Roman"/>
        </w:rPr>
        <w:t xml:space="preserve"> </w:t>
      </w:r>
      <w:r w:rsidR="00D9777A">
        <w:rPr>
          <w:rFonts w:ascii="Times New Roman" w:hAnsi="Times New Roman"/>
        </w:rPr>
        <w:t>Curiously, the court then abandons</w:t>
      </w:r>
      <w:r w:rsidR="00F567AA">
        <w:rPr>
          <w:rFonts w:ascii="Times New Roman" w:hAnsi="Times New Roman"/>
        </w:rPr>
        <w:t xml:space="preserve"> </w:t>
      </w:r>
      <w:r w:rsidR="00F567AA" w:rsidRPr="00D9777A">
        <w:rPr>
          <w:rFonts w:ascii="Times New Roman" w:hAnsi="Times New Roman"/>
          <w:i/>
        </w:rPr>
        <w:t>CELP</w:t>
      </w:r>
      <w:r w:rsidR="001E344A">
        <w:rPr>
          <w:rFonts w:ascii="Times New Roman" w:hAnsi="Times New Roman"/>
        </w:rPr>
        <w:t>’s guidance, and begins to rely instead</w:t>
      </w:r>
      <w:r w:rsidR="00D9777A">
        <w:rPr>
          <w:rFonts w:ascii="Times New Roman" w:hAnsi="Times New Roman"/>
        </w:rPr>
        <w:t xml:space="preserve"> to</w:t>
      </w:r>
      <w:r w:rsidR="00F567AA">
        <w:rPr>
          <w:rFonts w:ascii="Times New Roman" w:hAnsi="Times New Roman"/>
        </w:rPr>
        <w:t xml:space="preserve"> </w:t>
      </w:r>
      <w:r w:rsidR="00F567AA" w:rsidRPr="006B18FC">
        <w:rPr>
          <w:rFonts w:ascii="Times New Roman" w:hAnsi="Times New Roman"/>
          <w:i/>
        </w:rPr>
        <w:t>Te-Moak</w:t>
      </w:r>
      <w:r w:rsidR="00D9777A">
        <w:rPr>
          <w:rFonts w:ascii="Times New Roman" w:hAnsi="Times New Roman"/>
        </w:rPr>
        <w:t>’s statement that</w:t>
      </w:r>
      <w:r w:rsidR="006B18FC">
        <w:rPr>
          <w:rFonts w:ascii="Times New Roman" w:hAnsi="Times New Roman"/>
        </w:rPr>
        <w:t xml:space="preserve"> </w:t>
      </w:r>
      <w:r w:rsidR="00F567AA">
        <w:rPr>
          <w:rFonts w:ascii="Times New Roman" w:hAnsi="Times New Roman"/>
        </w:rPr>
        <w:t>“An EA’s analysis of cumulative impact</w:t>
      </w:r>
      <w:r w:rsidR="00D9777A">
        <w:rPr>
          <w:rFonts w:ascii="Times New Roman" w:hAnsi="Times New Roman"/>
        </w:rPr>
        <w:t xml:space="preserve"> </w:t>
      </w:r>
      <w:r w:rsidR="00F567AA" w:rsidRPr="00D9777A">
        <w:rPr>
          <w:rFonts w:ascii="Times New Roman" w:hAnsi="Times New Roman"/>
        </w:rPr>
        <w:t xml:space="preserve">must give a sufficiently detailed catalogue of past, present, and future projects, </w:t>
      </w:r>
      <w:r w:rsidR="006B3058" w:rsidRPr="00D9777A">
        <w:rPr>
          <w:rFonts w:ascii="Times New Roman" w:hAnsi="Times New Roman"/>
        </w:rPr>
        <w:t>and provide adequate analysis about how these projects are thought to have impacted the environment.”</w:t>
      </w:r>
      <w:r w:rsidR="007F314C">
        <w:rPr>
          <w:rStyle w:val="FootnoteReference"/>
          <w:rFonts w:ascii="Times New Roman" w:hAnsi="Times New Roman"/>
        </w:rPr>
        <w:footnoteReference w:id="94"/>
      </w:r>
      <w:r w:rsidR="006B3058">
        <w:rPr>
          <w:rFonts w:ascii="Times New Roman" w:hAnsi="Times New Roman"/>
        </w:rPr>
        <w:t xml:space="preserve"> </w:t>
      </w:r>
      <w:r w:rsidR="00D9777A">
        <w:rPr>
          <w:rFonts w:ascii="Times New Roman" w:hAnsi="Times New Roman"/>
        </w:rPr>
        <w:t>Finally, a</w:t>
      </w:r>
      <w:r w:rsidR="006B3058">
        <w:rPr>
          <w:rFonts w:ascii="Times New Roman" w:hAnsi="Times New Roman"/>
        </w:rPr>
        <w:t>s an appare</w:t>
      </w:r>
      <w:r w:rsidR="004070F0">
        <w:rPr>
          <w:rFonts w:ascii="Times New Roman" w:hAnsi="Times New Roman"/>
        </w:rPr>
        <w:t xml:space="preserve">nt afterthought, the court draws once again from </w:t>
      </w:r>
      <w:r w:rsidR="006B3058" w:rsidRPr="004070F0">
        <w:rPr>
          <w:rFonts w:ascii="Times New Roman" w:hAnsi="Times New Roman"/>
          <w:i/>
        </w:rPr>
        <w:t>CELP</w:t>
      </w:r>
      <w:r w:rsidR="004070F0">
        <w:rPr>
          <w:rFonts w:ascii="Times New Roman" w:hAnsi="Times New Roman"/>
        </w:rPr>
        <w:t xml:space="preserve"> by </w:t>
      </w:r>
      <w:r w:rsidR="006B3058">
        <w:rPr>
          <w:rFonts w:ascii="Times New Roman" w:hAnsi="Times New Roman"/>
        </w:rPr>
        <w:t>stating “An agency may, however, characterize the cumulative effects of past actions in the aggregate without enumerating every past project that has affected an area.”</w:t>
      </w:r>
      <w:r w:rsidR="007F314C">
        <w:rPr>
          <w:rStyle w:val="FootnoteReference"/>
          <w:rFonts w:ascii="Times New Roman" w:hAnsi="Times New Roman"/>
        </w:rPr>
        <w:footnoteReference w:id="95"/>
      </w:r>
      <w:r w:rsidR="006B3058">
        <w:rPr>
          <w:rFonts w:ascii="Times New Roman" w:hAnsi="Times New Roman"/>
        </w:rPr>
        <w:t xml:space="preserve">   </w:t>
      </w:r>
    </w:p>
    <w:p w14:paraId="3922DF68" w14:textId="77777777" w:rsidR="00DA2CC2" w:rsidRDefault="004070F0" w:rsidP="00DA2CC2">
      <w:pPr>
        <w:widowControl w:val="0"/>
        <w:autoSpaceDE w:val="0"/>
        <w:autoSpaceDN w:val="0"/>
        <w:adjustRightInd w:val="0"/>
        <w:spacing w:line="360" w:lineRule="auto"/>
        <w:ind w:firstLine="720"/>
        <w:rPr>
          <w:rFonts w:ascii="Times New Roman" w:hAnsi="Times New Roman"/>
          <w:color w:val="1C1C1C"/>
        </w:rPr>
      </w:pPr>
      <w:r>
        <w:rPr>
          <w:rFonts w:ascii="Times New Roman" w:hAnsi="Times New Roman"/>
          <w:color w:val="1C1C1C"/>
        </w:rPr>
        <w:t xml:space="preserve">Choosing to state the </w:t>
      </w:r>
      <w:r w:rsidR="00EE32A2">
        <w:rPr>
          <w:rFonts w:ascii="Times New Roman" w:hAnsi="Times New Roman"/>
          <w:color w:val="1C1C1C"/>
        </w:rPr>
        <w:t>law</w:t>
      </w:r>
      <w:r>
        <w:rPr>
          <w:rFonts w:ascii="Times New Roman" w:hAnsi="Times New Roman"/>
          <w:color w:val="1C1C1C"/>
        </w:rPr>
        <w:t xml:space="preserve"> in this manner caused </w:t>
      </w:r>
      <w:r w:rsidR="00EE32A2">
        <w:rPr>
          <w:rFonts w:ascii="Times New Roman" w:hAnsi="Times New Roman"/>
          <w:color w:val="1C1C1C"/>
        </w:rPr>
        <w:t>the District Court</w:t>
      </w:r>
      <w:r>
        <w:rPr>
          <w:rFonts w:ascii="Times New Roman" w:hAnsi="Times New Roman"/>
          <w:color w:val="1C1C1C"/>
        </w:rPr>
        <w:t xml:space="preserve"> to err</w:t>
      </w:r>
      <w:r w:rsidR="00EE32A2">
        <w:rPr>
          <w:rFonts w:ascii="Times New Roman" w:hAnsi="Times New Roman"/>
          <w:color w:val="1C1C1C"/>
        </w:rPr>
        <w:t xml:space="preserve"> in three ways. First, </w:t>
      </w:r>
      <w:r w:rsidR="000F3FBB" w:rsidRPr="004070F0">
        <w:rPr>
          <w:rFonts w:ascii="Times New Roman" w:hAnsi="Times New Roman"/>
          <w:i/>
          <w:color w:val="1C1C1C"/>
        </w:rPr>
        <w:t>Te-Moak</w:t>
      </w:r>
      <w:r w:rsidR="000F3FBB">
        <w:rPr>
          <w:rFonts w:ascii="Times New Roman" w:hAnsi="Times New Roman"/>
          <w:color w:val="1C1C1C"/>
        </w:rPr>
        <w:t xml:space="preserve"> is distinguishable from the 9</w:t>
      </w:r>
      <w:r w:rsidR="000F3FBB" w:rsidRPr="000F3FBB">
        <w:rPr>
          <w:rFonts w:ascii="Times New Roman" w:hAnsi="Times New Roman"/>
          <w:color w:val="1C1C1C"/>
          <w:vertAlign w:val="superscript"/>
        </w:rPr>
        <w:t>th</w:t>
      </w:r>
      <w:r w:rsidR="000F3FBB">
        <w:rPr>
          <w:rFonts w:ascii="Times New Roman" w:hAnsi="Times New Roman"/>
          <w:color w:val="1C1C1C"/>
        </w:rPr>
        <w:t xml:space="preserve"> Circuit’s c</w:t>
      </w:r>
      <w:r>
        <w:rPr>
          <w:rFonts w:ascii="Times New Roman" w:hAnsi="Times New Roman"/>
          <w:color w:val="1C1C1C"/>
        </w:rPr>
        <w:t>umulative effect of past projects</w:t>
      </w:r>
      <w:r w:rsidR="000F3FBB">
        <w:rPr>
          <w:rFonts w:ascii="Times New Roman" w:hAnsi="Times New Roman"/>
          <w:color w:val="1C1C1C"/>
        </w:rPr>
        <w:t xml:space="preserve"> precedent because, unlike </w:t>
      </w:r>
      <w:r w:rsidR="000F3FBB" w:rsidRPr="001E344A">
        <w:rPr>
          <w:rFonts w:ascii="Times New Roman" w:hAnsi="Times New Roman"/>
          <w:i/>
          <w:color w:val="1C1C1C"/>
        </w:rPr>
        <w:t>CELP</w:t>
      </w:r>
      <w:r w:rsidR="000F3FBB">
        <w:rPr>
          <w:rFonts w:ascii="Times New Roman" w:hAnsi="Times New Roman"/>
          <w:color w:val="1C1C1C"/>
        </w:rPr>
        <w:t xml:space="preserve">, </w:t>
      </w:r>
      <w:r w:rsidR="000F3FBB" w:rsidRPr="001E344A">
        <w:rPr>
          <w:rFonts w:ascii="Times New Roman" w:hAnsi="Times New Roman"/>
          <w:i/>
          <w:color w:val="1C1C1C"/>
        </w:rPr>
        <w:t>Te-Moak</w:t>
      </w:r>
      <w:r w:rsidR="000F3FBB">
        <w:rPr>
          <w:rFonts w:ascii="Times New Roman" w:hAnsi="Times New Roman"/>
          <w:color w:val="1C1C1C"/>
        </w:rPr>
        <w:t xml:space="preserve"> considers the cumulative impact of </w:t>
      </w:r>
      <w:r w:rsidR="000F3FBB">
        <w:rPr>
          <w:rFonts w:ascii="Times New Roman" w:hAnsi="Times New Roman"/>
          <w:i/>
          <w:color w:val="1C1C1C"/>
        </w:rPr>
        <w:t>foreseeable</w:t>
      </w:r>
      <w:r w:rsidR="000F3FBB">
        <w:rPr>
          <w:rFonts w:ascii="Times New Roman" w:hAnsi="Times New Roman"/>
          <w:color w:val="1C1C1C"/>
        </w:rPr>
        <w:t xml:space="preserve">, rather than </w:t>
      </w:r>
      <w:r w:rsidR="000F3FBB">
        <w:rPr>
          <w:rFonts w:ascii="Times New Roman" w:hAnsi="Times New Roman"/>
          <w:i/>
          <w:color w:val="1C1C1C"/>
        </w:rPr>
        <w:t>past</w:t>
      </w:r>
      <w:r w:rsidR="000F3FBB">
        <w:rPr>
          <w:rFonts w:ascii="Times New Roman" w:hAnsi="Times New Roman"/>
          <w:color w:val="1C1C1C"/>
        </w:rPr>
        <w:t xml:space="preserve"> actions.  Second, choosing to follow </w:t>
      </w:r>
      <w:r w:rsidR="000F3FBB" w:rsidRPr="006B18FC">
        <w:rPr>
          <w:rFonts w:ascii="Times New Roman" w:hAnsi="Times New Roman"/>
          <w:i/>
          <w:color w:val="1C1C1C"/>
        </w:rPr>
        <w:t>Te-Moak</w:t>
      </w:r>
      <w:r>
        <w:rPr>
          <w:rFonts w:ascii="Times New Roman" w:hAnsi="Times New Roman"/>
          <w:color w:val="1C1C1C"/>
        </w:rPr>
        <w:t xml:space="preserve"> blinded the court</w:t>
      </w:r>
      <w:r w:rsidR="00EE1ED2">
        <w:rPr>
          <w:rFonts w:ascii="Times New Roman" w:hAnsi="Times New Roman"/>
          <w:color w:val="1C1C1C"/>
        </w:rPr>
        <w:t xml:space="preserve"> to</w:t>
      </w:r>
      <w:r w:rsidR="000F3FBB">
        <w:rPr>
          <w:rFonts w:ascii="Times New Roman" w:hAnsi="Times New Roman"/>
          <w:color w:val="1C1C1C"/>
        </w:rPr>
        <w:t xml:space="preserve"> the fact that it must look to the whole record when determining if an agency has sufficiently</w:t>
      </w:r>
      <w:r>
        <w:rPr>
          <w:rFonts w:ascii="Times New Roman" w:hAnsi="Times New Roman"/>
          <w:color w:val="1C1C1C"/>
        </w:rPr>
        <w:t xml:space="preserve"> analyzed the cumulative effect of past project</w:t>
      </w:r>
      <w:r w:rsidR="000F3FBB">
        <w:rPr>
          <w:rFonts w:ascii="Times New Roman" w:hAnsi="Times New Roman"/>
          <w:color w:val="1C1C1C"/>
        </w:rPr>
        <w:t xml:space="preserve">s. </w:t>
      </w:r>
      <w:r w:rsidR="00EE1ED2">
        <w:rPr>
          <w:rFonts w:ascii="Times New Roman" w:hAnsi="Times New Roman"/>
          <w:color w:val="1C1C1C"/>
        </w:rPr>
        <w:t>Finally,</w:t>
      </w:r>
      <w:r w:rsidR="000F3FBB">
        <w:rPr>
          <w:rFonts w:ascii="Times New Roman" w:hAnsi="Times New Roman"/>
          <w:color w:val="1C1C1C"/>
        </w:rPr>
        <w:t xml:space="preserve"> failing to look to the whole record</w:t>
      </w:r>
      <w:r w:rsidR="00EE1ED2">
        <w:rPr>
          <w:rFonts w:ascii="Times New Roman" w:hAnsi="Times New Roman"/>
          <w:color w:val="1C1C1C"/>
        </w:rPr>
        <w:t xml:space="preserve"> compromised</w:t>
      </w:r>
      <w:r w:rsidR="00EE32A2">
        <w:rPr>
          <w:rFonts w:ascii="Times New Roman" w:hAnsi="Times New Roman"/>
          <w:color w:val="1C1C1C"/>
        </w:rPr>
        <w:t xml:space="preserve"> the court</w:t>
      </w:r>
      <w:r w:rsidR="003E0AF4">
        <w:rPr>
          <w:rFonts w:ascii="Times New Roman" w:hAnsi="Times New Roman"/>
          <w:color w:val="1C1C1C"/>
        </w:rPr>
        <w:t>’s ability to understand the Forest Service’s</w:t>
      </w:r>
      <w:r w:rsidR="00EE32A2">
        <w:rPr>
          <w:rFonts w:ascii="Times New Roman" w:hAnsi="Times New Roman"/>
          <w:color w:val="1C1C1C"/>
        </w:rPr>
        <w:t xml:space="preserve"> characterization</w:t>
      </w:r>
      <w:r w:rsidR="003E0AF4">
        <w:rPr>
          <w:rFonts w:ascii="Times New Roman" w:hAnsi="Times New Roman"/>
          <w:color w:val="1C1C1C"/>
        </w:rPr>
        <w:t xml:space="preserve"> of its aggregate analysis</w:t>
      </w:r>
      <w:r w:rsidR="00EE32A2">
        <w:rPr>
          <w:rFonts w:ascii="Times New Roman" w:hAnsi="Times New Roman"/>
          <w:color w:val="1C1C1C"/>
        </w:rPr>
        <w:t xml:space="preserve"> of the cumulative effects of past actions on lynx.</w:t>
      </w:r>
      <w:r w:rsidR="007F314C">
        <w:rPr>
          <w:rFonts w:ascii="Times New Roman" w:hAnsi="Times New Roman"/>
          <w:color w:val="1C1C1C"/>
        </w:rPr>
        <w:t xml:space="preserve"> </w:t>
      </w:r>
      <w:r w:rsidR="00EE32A2">
        <w:rPr>
          <w:rFonts w:ascii="Times New Roman" w:hAnsi="Times New Roman"/>
          <w:color w:val="1C1C1C"/>
        </w:rPr>
        <w:t xml:space="preserve">The following </w:t>
      </w:r>
      <w:r>
        <w:rPr>
          <w:rFonts w:ascii="Times New Roman" w:hAnsi="Times New Roman"/>
          <w:color w:val="1C1C1C"/>
        </w:rPr>
        <w:t>analysis addresses each argument</w:t>
      </w:r>
      <w:r w:rsidR="00EE32A2">
        <w:rPr>
          <w:rFonts w:ascii="Times New Roman" w:hAnsi="Times New Roman"/>
          <w:color w:val="1C1C1C"/>
        </w:rPr>
        <w:t xml:space="preserve"> in turn.</w:t>
      </w:r>
    </w:p>
    <w:p w14:paraId="245C3C39" w14:textId="77777777" w:rsidR="00DA2CC2" w:rsidRDefault="00DA2CC2" w:rsidP="00DA2CC2">
      <w:pPr>
        <w:widowControl w:val="0"/>
        <w:autoSpaceDE w:val="0"/>
        <w:autoSpaceDN w:val="0"/>
        <w:adjustRightInd w:val="0"/>
        <w:spacing w:line="360" w:lineRule="auto"/>
        <w:rPr>
          <w:rFonts w:ascii="Times New Roman" w:hAnsi="Times New Roman"/>
          <w:color w:val="1C1C1C"/>
        </w:rPr>
      </w:pPr>
    </w:p>
    <w:p w14:paraId="25D82324" w14:textId="09E16D01" w:rsidR="00EE32A2" w:rsidRPr="00DA2CC2" w:rsidRDefault="006B18FC" w:rsidP="00DA2CC2">
      <w:pPr>
        <w:widowControl w:val="0"/>
        <w:autoSpaceDE w:val="0"/>
        <w:autoSpaceDN w:val="0"/>
        <w:adjustRightInd w:val="0"/>
        <w:spacing w:line="360" w:lineRule="auto"/>
        <w:rPr>
          <w:rFonts w:ascii="Times New Roman" w:hAnsi="Times New Roman"/>
          <w:color w:val="1C1C1C"/>
        </w:rPr>
      </w:pPr>
      <w:r w:rsidRPr="00DA2CC2">
        <w:rPr>
          <w:rFonts w:ascii="Times New Roman" w:hAnsi="Times New Roman"/>
          <w:color w:val="1C1C1C"/>
        </w:rPr>
        <w:t xml:space="preserve">A. </w:t>
      </w:r>
      <w:r w:rsidR="00EE1ED2" w:rsidRPr="00DA2CC2">
        <w:rPr>
          <w:rFonts w:ascii="Times New Roman" w:hAnsi="Times New Roman"/>
          <w:color w:val="1C1C1C"/>
        </w:rPr>
        <w:t>T</w:t>
      </w:r>
      <w:r w:rsidRPr="00DA2CC2">
        <w:t>he district court incorrectly relied on 9</w:t>
      </w:r>
      <w:r w:rsidRPr="00DA2CC2">
        <w:rPr>
          <w:vertAlign w:val="superscript"/>
        </w:rPr>
        <w:t>th</w:t>
      </w:r>
      <w:r w:rsidRPr="00DA2CC2">
        <w:t xml:space="preserve"> Circuit precedent requiring a detailed </w:t>
      </w:r>
      <w:r w:rsidR="00EE1ED2" w:rsidRPr="00DA2CC2">
        <w:t>catalog of reasonably foreseeable projects</w:t>
      </w:r>
      <w:r w:rsidRPr="00DA2CC2">
        <w:t>, whereas past projects are at issue in</w:t>
      </w:r>
      <w:r w:rsidR="000270BE" w:rsidRPr="00DA2CC2">
        <w:t xml:space="preserve"> </w:t>
      </w:r>
      <w:r w:rsidRPr="00DA2CC2">
        <w:t>Friends.</w:t>
      </w:r>
    </w:p>
    <w:p w14:paraId="0A98294E" w14:textId="77777777" w:rsidR="000270BE" w:rsidRDefault="000270BE" w:rsidP="00D95695">
      <w:pPr>
        <w:widowControl w:val="0"/>
        <w:autoSpaceDE w:val="0"/>
        <w:autoSpaceDN w:val="0"/>
        <w:adjustRightInd w:val="0"/>
        <w:spacing w:line="360" w:lineRule="auto"/>
        <w:ind w:firstLine="720"/>
        <w:rPr>
          <w:rFonts w:ascii="Times New Roman" w:hAnsi="Times New Roman"/>
          <w:color w:val="1C1C1C"/>
        </w:rPr>
      </w:pPr>
    </w:p>
    <w:p w14:paraId="6FC8DD6A" w14:textId="05E45C4F" w:rsidR="00EE32A2" w:rsidRDefault="004070F0" w:rsidP="00D95695">
      <w:pPr>
        <w:widowControl w:val="0"/>
        <w:autoSpaceDE w:val="0"/>
        <w:autoSpaceDN w:val="0"/>
        <w:adjustRightInd w:val="0"/>
        <w:spacing w:line="360" w:lineRule="auto"/>
        <w:ind w:firstLine="720"/>
        <w:rPr>
          <w:rFonts w:ascii="Times New Roman" w:hAnsi="Times New Roman"/>
        </w:rPr>
      </w:pPr>
      <w:r>
        <w:rPr>
          <w:rFonts w:ascii="Times New Roman" w:hAnsi="Times New Roman"/>
          <w:color w:val="1C1C1C"/>
        </w:rPr>
        <w:t xml:space="preserve">The </w:t>
      </w:r>
      <w:r w:rsidR="00EE32A2">
        <w:rPr>
          <w:rFonts w:ascii="Times New Roman" w:hAnsi="Times New Roman"/>
          <w:i/>
          <w:color w:val="1C1C1C"/>
        </w:rPr>
        <w:t>Friends</w:t>
      </w:r>
      <w:r>
        <w:rPr>
          <w:rFonts w:ascii="Times New Roman" w:hAnsi="Times New Roman"/>
          <w:color w:val="1C1C1C"/>
        </w:rPr>
        <w:t xml:space="preserve"> c</w:t>
      </w:r>
      <w:r w:rsidR="00EE32A2">
        <w:rPr>
          <w:rFonts w:ascii="Times New Roman" w:hAnsi="Times New Roman"/>
          <w:color w:val="1C1C1C"/>
        </w:rPr>
        <w:t xml:space="preserve">ourt relied on </w:t>
      </w:r>
      <w:r w:rsidR="00EE32A2">
        <w:rPr>
          <w:rFonts w:ascii="Times New Roman" w:hAnsi="Times New Roman"/>
          <w:i/>
          <w:color w:val="1C1C1C"/>
        </w:rPr>
        <w:t>Te-Moak</w:t>
      </w:r>
      <w:r w:rsidR="00EE32A2">
        <w:rPr>
          <w:rFonts w:ascii="Times New Roman" w:hAnsi="Times New Roman"/>
          <w:color w:val="1C1C1C"/>
        </w:rPr>
        <w:t xml:space="preserve"> for the proposition that “</w:t>
      </w:r>
      <w:r w:rsidR="00EE32A2">
        <w:rPr>
          <w:rFonts w:ascii="Times New Roman" w:hAnsi="Times New Roman"/>
        </w:rPr>
        <w:t>[a]n EA's analysis of cumulative impacts ‘</w:t>
      </w:r>
      <w:r w:rsidR="00EE32A2">
        <w:rPr>
          <w:rFonts w:ascii="Times New Roman" w:hAnsi="Times New Roman"/>
          <w:i/>
        </w:rPr>
        <w:t>must</w:t>
      </w:r>
      <w:r w:rsidR="00EE32A2">
        <w:rPr>
          <w:rFonts w:ascii="Times New Roman" w:hAnsi="Times New Roman"/>
        </w:rPr>
        <w:t xml:space="preserve"> give a sufficiently detailed catalogue of past,</w:t>
      </w:r>
      <w:r w:rsidR="004B6AB1">
        <w:rPr>
          <w:rFonts w:ascii="Times New Roman" w:hAnsi="Times New Roman"/>
        </w:rPr>
        <w:t xml:space="preserve"> present, and future projects … .</w:t>
      </w:r>
      <w:r w:rsidR="00EE32A2">
        <w:rPr>
          <w:rFonts w:ascii="Times New Roman" w:hAnsi="Times New Roman"/>
        </w:rPr>
        <w:t>’”</w:t>
      </w:r>
      <w:r w:rsidR="00EE32A2">
        <w:rPr>
          <w:rStyle w:val="FootnoteReference"/>
          <w:rFonts w:ascii="Times New Roman" w:hAnsi="Times New Roman"/>
        </w:rPr>
        <w:footnoteReference w:id="96"/>
      </w:r>
      <w:r w:rsidR="00EE32A2">
        <w:rPr>
          <w:rFonts w:ascii="Times New Roman" w:hAnsi="Times New Roman"/>
        </w:rPr>
        <w:t xml:space="preserve"> </w:t>
      </w:r>
      <w:r w:rsidR="00173ED6">
        <w:rPr>
          <w:rFonts w:ascii="Times New Roman" w:hAnsi="Times New Roman"/>
        </w:rPr>
        <w:t>Then, as an apparent afterthought, the cou</w:t>
      </w:r>
      <w:r w:rsidR="00E23D6B">
        <w:rPr>
          <w:rFonts w:ascii="Times New Roman" w:hAnsi="Times New Roman"/>
        </w:rPr>
        <w:t xml:space="preserve">rt states that an agency “may, however, </w:t>
      </w:r>
      <w:r w:rsidR="00173ED6">
        <w:rPr>
          <w:rFonts w:ascii="Times New Roman" w:hAnsi="Times New Roman"/>
        </w:rPr>
        <w:t>characterize the cumulative effects of past actions in the aggregate … .”</w:t>
      </w:r>
      <w:r w:rsidR="007F314C">
        <w:rPr>
          <w:rStyle w:val="FootnoteReference"/>
          <w:rFonts w:ascii="Times New Roman" w:hAnsi="Times New Roman"/>
        </w:rPr>
        <w:footnoteReference w:id="97"/>
      </w:r>
      <w:r w:rsidR="004B6AB1">
        <w:rPr>
          <w:rFonts w:ascii="Times New Roman" w:hAnsi="Times New Roman"/>
        </w:rPr>
        <w:t xml:space="preserve"> </w:t>
      </w:r>
      <w:r w:rsidR="00E23D6B">
        <w:rPr>
          <w:rFonts w:ascii="Times New Roman" w:hAnsi="Times New Roman"/>
        </w:rPr>
        <w:t>What is curious about the court’s choice of auth</w:t>
      </w:r>
      <w:r>
        <w:rPr>
          <w:rFonts w:ascii="Times New Roman" w:hAnsi="Times New Roman"/>
        </w:rPr>
        <w:t>ority; however, is why it</w:t>
      </w:r>
      <w:r w:rsidR="00E23D6B">
        <w:rPr>
          <w:rFonts w:ascii="Times New Roman" w:hAnsi="Times New Roman"/>
        </w:rPr>
        <w:t xml:space="preserve"> chose to state the </w:t>
      </w:r>
      <w:r w:rsidR="00E23D6B" w:rsidRPr="00EE1ED2">
        <w:rPr>
          <w:rFonts w:ascii="Times New Roman" w:hAnsi="Times New Roman"/>
          <w:i/>
        </w:rPr>
        <w:t>Te-Moak</w:t>
      </w:r>
      <w:r w:rsidR="00E23D6B">
        <w:rPr>
          <w:rFonts w:ascii="Times New Roman" w:hAnsi="Times New Roman"/>
        </w:rPr>
        <w:t xml:space="preserve"> standard at all. After all, in </w:t>
      </w:r>
      <w:r w:rsidR="00E23D6B" w:rsidRPr="00EE1ED2">
        <w:rPr>
          <w:rFonts w:ascii="Times New Roman" w:hAnsi="Times New Roman"/>
          <w:i/>
        </w:rPr>
        <w:t>Te-Moak</w:t>
      </w:r>
      <w:r w:rsidR="00E23D6B">
        <w:rPr>
          <w:rFonts w:ascii="Times New Roman" w:hAnsi="Times New Roman"/>
        </w:rPr>
        <w:t xml:space="preserve"> the issue was the cumulative effect of reasonably foreseeable project</w:t>
      </w:r>
      <w:r w:rsidR="00EE1ED2">
        <w:rPr>
          <w:rFonts w:ascii="Times New Roman" w:hAnsi="Times New Roman"/>
        </w:rPr>
        <w:t>s</w:t>
      </w:r>
      <w:r w:rsidR="00E23D6B">
        <w:rPr>
          <w:rFonts w:ascii="Times New Roman" w:hAnsi="Times New Roman"/>
        </w:rPr>
        <w:t xml:space="preserve">, not the cumulative effect of past projects. In addition, </w:t>
      </w:r>
      <w:r w:rsidR="00D53F13">
        <w:rPr>
          <w:rFonts w:ascii="Times New Roman" w:hAnsi="Times New Roman"/>
        </w:rPr>
        <w:t xml:space="preserve">if an agency </w:t>
      </w:r>
      <w:r w:rsidR="00D53F13">
        <w:rPr>
          <w:rFonts w:ascii="Times New Roman" w:hAnsi="Times New Roman"/>
          <w:i/>
        </w:rPr>
        <w:t>must</w:t>
      </w:r>
      <w:r w:rsidR="00D53F13">
        <w:rPr>
          <w:rFonts w:ascii="Times New Roman" w:hAnsi="Times New Roman"/>
        </w:rPr>
        <w:t xml:space="preserve"> give a sufficiently detailed catalogue of past projects, how </w:t>
      </w:r>
      <w:r w:rsidR="00D53F13">
        <w:rPr>
          <w:rFonts w:ascii="Times New Roman" w:hAnsi="Times New Roman"/>
          <w:i/>
        </w:rPr>
        <w:t>may</w:t>
      </w:r>
      <w:r w:rsidR="00D53F13">
        <w:rPr>
          <w:rFonts w:ascii="Times New Roman" w:hAnsi="Times New Roman"/>
        </w:rPr>
        <w:t xml:space="preserve"> it</w:t>
      </w:r>
      <w:r w:rsidR="00EE1ED2">
        <w:rPr>
          <w:rFonts w:ascii="Times New Roman" w:hAnsi="Times New Roman"/>
        </w:rPr>
        <w:t xml:space="preserve"> at the same time</w:t>
      </w:r>
      <w:r w:rsidR="00D53F13">
        <w:rPr>
          <w:rFonts w:ascii="Times New Roman" w:hAnsi="Times New Roman"/>
        </w:rPr>
        <w:t xml:space="preserve"> choose to characterize the cumulative effects of past actions in the aggregate?</w:t>
      </w:r>
      <w:r w:rsidR="001F7968">
        <w:rPr>
          <w:rFonts w:ascii="Times New Roman" w:hAnsi="Times New Roman"/>
        </w:rPr>
        <w:t xml:space="preserve"> </w:t>
      </w:r>
      <w:r w:rsidR="00EE1ED2">
        <w:rPr>
          <w:rFonts w:ascii="Times New Roman" w:hAnsi="Times New Roman"/>
        </w:rPr>
        <w:t>A logical</w:t>
      </w:r>
      <w:r w:rsidR="001E344A">
        <w:rPr>
          <w:rFonts w:ascii="Times New Roman" w:hAnsi="Times New Roman"/>
        </w:rPr>
        <w:t xml:space="preserve"> answer to these questions</w:t>
      </w:r>
      <w:r w:rsidR="00666B23">
        <w:rPr>
          <w:rFonts w:ascii="Times New Roman" w:hAnsi="Times New Roman"/>
        </w:rPr>
        <w:t xml:space="preserve"> lie</w:t>
      </w:r>
      <w:r w:rsidR="001E344A">
        <w:rPr>
          <w:rFonts w:ascii="Times New Roman" w:hAnsi="Times New Roman"/>
        </w:rPr>
        <w:t>s</w:t>
      </w:r>
      <w:r w:rsidR="001F7968">
        <w:rPr>
          <w:rFonts w:ascii="Times New Roman" w:hAnsi="Times New Roman"/>
        </w:rPr>
        <w:t xml:space="preserve"> in </w:t>
      </w:r>
      <w:r w:rsidR="00666B23">
        <w:rPr>
          <w:rFonts w:ascii="Times New Roman" w:hAnsi="Times New Roman"/>
        </w:rPr>
        <w:t xml:space="preserve">the court’s decision not to recognize that </w:t>
      </w:r>
      <w:r w:rsidR="00666B23">
        <w:rPr>
          <w:rFonts w:ascii="Times New Roman" w:hAnsi="Times New Roman"/>
          <w:color w:val="1C1C1C"/>
        </w:rPr>
        <w:t>“general statements about possible effects and some risk do not constitute a hard look absent a justification why more definitive information could not be provi</w:t>
      </w:r>
      <w:r w:rsidR="001E344A">
        <w:rPr>
          <w:rFonts w:ascii="Times New Roman" w:hAnsi="Times New Roman"/>
          <w:color w:val="1C1C1C"/>
        </w:rPr>
        <w:t>ded” – a statement recognized in</w:t>
      </w:r>
      <w:r w:rsidR="00666B23">
        <w:rPr>
          <w:rFonts w:ascii="Times New Roman" w:hAnsi="Times New Roman"/>
          <w:color w:val="1C1C1C"/>
        </w:rPr>
        <w:t xml:space="preserve"> both the </w:t>
      </w:r>
      <w:r w:rsidR="00666B23" w:rsidRPr="00666B23">
        <w:rPr>
          <w:rFonts w:ascii="Times New Roman" w:hAnsi="Times New Roman"/>
          <w:i/>
          <w:color w:val="1C1C1C"/>
        </w:rPr>
        <w:t>CELP</w:t>
      </w:r>
      <w:r w:rsidR="00666B23">
        <w:rPr>
          <w:rFonts w:ascii="Times New Roman" w:hAnsi="Times New Roman"/>
          <w:color w:val="1C1C1C"/>
        </w:rPr>
        <w:t xml:space="preserve"> and </w:t>
      </w:r>
      <w:r w:rsidR="00666B23" w:rsidRPr="00666B23">
        <w:rPr>
          <w:rFonts w:ascii="Times New Roman" w:hAnsi="Times New Roman"/>
          <w:i/>
          <w:color w:val="1C1C1C"/>
        </w:rPr>
        <w:t xml:space="preserve">Te-Moak </w:t>
      </w:r>
      <w:r w:rsidR="001E344A">
        <w:rPr>
          <w:rFonts w:ascii="Times New Roman" w:hAnsi="Times New Roman"/>
          <w:color w:val="1C1C1C"/>
        </w:rPr>
        <w:t>courts, but not in</w:t>
      </w:r>
      <w:r w:rsidR="00666B23">
        <w:rPr>
          <w:rFonts w:ascii="Times New Roman" w:hAnsi="Times New Roman"/>
          <w:color w:val="1C1C1C"/>
        </w:rPr>
        <w:t xml:space="preserve"> </w:t>
      </w:r>
      <w:r w:rsidR="00666B23" w:rsidRPr="00666B23">
        <w:rPr>
          <w:rFonts w:ascii="Times New Roman" w:hAnsi="Times New Roman"/>
          <w:i/>
          <w:color w:val="1C1C1C"/>
        </w:rPr>
        <w:t>Friends.</w:t>
      </w:r>
      <w:r w:rsidR="00C064A1">
        <w:rPr>
          <w:rStyle w:val="FootnoteReference"/>
          <w:rFonts w:ascii="Times New Roman" w:hAnsi="Times New Roman"/>
          <w:i/>
          <w:color w:val="1C1C1C"/>
        </w:rPr>
        <w:footnoteReference w:id="98"/>
      </w:r>
    </w:p>
    <w:p w14:paraId="7073DB84" w14:textId="1370AD90" w:rsidR="00AF201D" w:rsidRDefault="00F419C4" w:rsidP="00D95695">
      <w:pPr>
        <w:widowControl w:val="0"/>
        <w:autoSpaceDE w:val="0"/>
        <w:autoSpaceDN w:val="0"/>
        <w:adjustRightInd w:val="0"/>
        <w:spacing w:line="360" w:lineRule="auto"/>
        <w:ind w:firstLine="720"/>
        <w:rPr>
          <w:rFonts w:ascii="Times New Roman" w:hAnsi="Times New Roman"/>
          <w:color w:val="1C1C1C"/>
        </w:rPr>
      </w:pPr>
      <w:r>
        <w:rPr>
          <w:rFonts w:ascii="Times New Roman" w:hAnsi="Times New Roman"/>
        </w:rPr>
        <w:t>Taken together, and restated for clarity, t</w:t>
      </w:r>
      <w:r w:rsidR="00666B23">
        <w:rPr>
          <w:rFonts w:ascii="Times New Roman" w:hAnsi="Times New Roman"/>
        </w:rPr>
        <w:t xml:space="preserve">he </w:t>
      </w:r>
      <w:r w:rsidR="009450DC" w:rsidRPr="004070F0">
        <w:rPr>
          <w:rFonts w:ascii="Times New Roman" w:hAnsi="Times New Roman"/>
          <w:i/>
        </w:rPr>
        <w:t>CELP</w:t>
      </w:r>
      <w:r w:rsidR="00666B23">
        <w:rPr>
          <w:rFonts w:ascii="Times New Roman" w:hAnsi="Times New Roman"/>
        </w:rPr>
        <w:t xml:space="preserve"> court</w:t>
      </w:r>
      <w:r>
        <w:rPr>
          <w:rFonts w:ascii="Times New Roman" w:hAnsi="Times New Roman"/>
        </w:rPr>
        <w:t xml:space="preserve">’s declaration of the law recognizes that </w:t>
      </w:r>
      <w:r>
        <w:rPr>
          <w:rFonts w:ascii="Times New Roman" w:hAnsi="Times New Roman"/>
          <w:color w:val="1C1C1C"/>
        </w:rPr>
        <w:t>“general statements about possible effects and some risk do not constitute a hard look absent a justification why more definitive information could not be provided …</w:t>
      </w:r>
      <w:r w:rsidR="00E10615">
        <w:rPr>
          <w:rFonts w:ascii="Times New Roman" w:hAnsi="Times New Roman"/>
          <w:color w:val="1C1C1C"/>
        </w:rPr>
        <w:t xml:space="preserve"> however,</w:t>
      </w:r>
      <w:r>
        <w:rPr>
          <w:rFonts w:ascii="Times New Roman" w:hAnsi="Times New Roman"/>
          <w:color w:val="1C1C1C"/>
        </w:rPr>
        <w:t xml:space="preserve"> [an agency may]</w:t>
      </w:r>
      <w:r w:rsidR="00E10615">
        <w:rPr>
          <w:rFonts w:ascii="Times New Roman" w:hAnsi="Times New Roman"/>
          <w:color w:val="1C1C1C"/>
        </w:rPr>
        <w:t xml:space="preserve"> characterize the cumulative effects of past actions in the aggregate without enumerating every past project that has affected an area.”</w:t>
      </w:r>
      <w:r w:rsidR="00E10615">
        <w:rPr>
          <w:rStyle w:val="FootnoteReference"/>
          <w:rFonts w:ascii="Times New Roman" w:hAnsi="Times New Roman"/>
          <w:color w:val="1C1C1C"/>
        </w:rPr>
        <w:footnoteReference w:id="99"/>
      </w:r>
      <w:r w:rsidR="00EE1ED2">
        <w:rPr>
          <w:rFonts w:ascii="Times New Roman" w:hAnsi="Times New Roman"/>
          <w:color w:val="1C1C1C"/>
        </w:rPr>
        <w:t xml:space="preserve"> </w:t>
      </w:r>
      <w:r w:rsidR="008C0B20">
        <w:rPr>
          <w:rFonts w:ascii="Times New Roman" w:hAnsi="Times New Roman"/>
          <w:color w:val="1C1C1C"/>
        </w:rPr>
        <w:t xml:space="preserve">But unlike </w:t>
      </w:r>
      <w:r w:rsidR="008C0B20" w:rsidRPr="00EE1ED2">
        <w:rPr>
          <w:rFonts w:ascii="Times New Roman" w:hAnsi="Times New Roman"/>
          <w:i/>
          <w:color w:val="1C1C1C"/>
        </w:rPr>
        <w:t>CELP</w:t>
      </w:r>
      <w:r w:rsidR="008C0B20">
        <w:rPr>
          <w:rFonts w:ascii="Times New Roman" w:hAnsi="Times New Roman"/>
          <w:color w:val="1C1C1C"/>
        </w:rPr>
        <w:t xml:space="preserve">, the </w:t>
      </w:r>
      <w:r w:rsidR="008C0B20" w:rsidRPr="00EE1ED2">
        <w:rPr>
          <w:rFonts w:ascii="Times New Roman" w:hAnsi="Times New Roman"/>
          <w:i/>
          <w:color w:val="1C1C1C"/>
        </w:rPr>
        <w:t>Te</w:t>
      </w:r>
      <w:r w:rsidR="00EE1ED2" w:rsidRPr="00EE1ED2">
        <w:rPr>
          <w:rFonts w:ascii="Times New Roman" w:hAnsi="Times New Roman"/>
          <w:i/>
          <w:color w:val="1C1C1C"/>
        </w:rPr>
        <w:t>-Moak</w:t>
      </w:r>
      <w:r w:rsidR="00EE1ED2">
        <w:rPr>
          <w:rFonts w:ascii="Times New Roman" w:hAnsi="Times New Roman"/>
          <w:color w:val="1C1C1C"/>
        </w:rPr>
        <w:t xml:space="preserve"> </w:t>
      </w:r>
      <w:r w:rsidR="008C0B20">
        <w:rPr>
          <w:rFonts w:ascii="Times New Roman" w:hAnsi="Times New Roman"/>
          <w:color w:val="1C1C1C"/>
        </w:rPr>
        <w:t xml:space="preserve">court does </w:t>
      </w:r>
      <w:r w:rsidR="008C0B20" w:rsidRPr="00EE1ED2">
        <w:rPr>
          <w:rFonts w:ascii="Times New Roman" w:hAnsi="Times New Roman"/>
          <w:i/>
          <w:color w:val="1C1C1C"/>
        </w:rPr>
        <w:t>not</w:t>
      </w:r>
      <w:r w:rsidR="008C0B20">
        <w:rPr>
          <w:rFonts w:ascii="Times New Roman" w:hAnsi="Times New Roman"/>
          <w:color w:val="1C1C1C"/>
        </w:rPr>
        <w:t xml:space="preserve"> then state that an agency “may, [with ‘justification why more definitive information could not be provided’] characterize the cumulative effects of past actions in the aggregate without enumerating every past project tha</w:t>
      </w:r>
      <w:r w:rsidR="008D51C9">
        <w:rPr>
          <w:rFonts w:ascii="Times New Roman" w:hAnsi="Times New Roman"/>
          <w:color w:val="1C1C1C"/>
        </w:rPr>
        <w:t>t has affected an area.”</w:t>
      </w:r>
      <w:r w:rsidR="00A81A70">
        <w:rPr>
          <w:rStyle w:val="FootnoteReference"/>
          <w:rFonts w:ascii="Times New Roman" w:hAnsi="Times New Roman"/>
          <w:color w:val="1C1C1C"/>
        </w:rPr>
        <w:footnoteReference w:id="100"/>
      </w:r>
      <w:r w:rsidR="008D51C9">
        <w:rPr>
          <w:rFonts w:ascii="Times New Roman" w:hAnsi="Times New Roman"/>
          <w:color w:val="1C1C1C"/>
        </w:rPr>
        <w:t xml:space="preserve"> Rather</w:t>
      </w:r>
      <w:r w:rsidR="008C0B20">
        <w:rPr>
          <w:rFonts w:ascii="Times New Roman" w:hAnsi="Times New Roman"/>
          <w:color w:val="1C1C1C"/>
        </w:rPr>
        <w:t xml:space="preserve">, the Te-Moak opinion </w:t>
      </w:r>
      <w:r>
        <w:rPr>
          <w:rFonts w:ascii="Times New Roman" w:hAnsi="Times New Roman"/>
          <w:color w:val="1C1C1C"/>
        </w:rPr>
        <w:t>chooses to conclude where</w:t>
      </w:r>
      <w:r w:rsidR="008D51C9">
        <w:rPr>
          <w:rFonts w:ascii="Times New Roman" w:hAnsi="Times New Roman"/>
          <w:color w:val="1C1C1C"/>
        </w:rPr>
        <w:t xml:space="preserve"> </w:t>
      </w:r>
      <w:r w:rsidR="008D51C9" w:rsidRPr="008D51C9">
        <w:rPr>
          <w:rFonts w:ascii="Times New Roman" w:hAnsi="Times New Roman"/>
          <w:i/>
          <w:color w:val="1C1C1C"/>
        </w:rPr>
        <w:t>CELP</w:t>
      </w:r>
      <w:r>
        <w:rPr>
          <w:rFonts w:ascii="Times New Roman" w:hAnsi="Times New Roman"/>
          <w:i/>
          <w:color w:val="1C1C1C"/>
        </w:rPr>
        <w:t xml:space="preserve"> </w:t>
      </w:r>
      <w:r>
        <w:rPr>
          <w:rFonts w:ascii="Times New Roman" w:hAnsi="Times New Roman"/>
          <w:color w:val="1C1C1C"/>
        </w:rPr>
        <w:t>began</w:t>
      </w:r>
      <w:r w:rsidR="008D51C9">
        <w:rPr>
          <w:rFonts w:ascii="Times New Roman" w:hAnsi="Times New Roman"/>
          <w:i/>
          <w:color w:val="1C1C1C"/>
        </w:rPr>
        <w:t>,</w:t>
      </w:r>
      <w:r>
        <w:rPr>
          <w:rFonts w:ascii="Times New Roman" w:hAnsi="Times New Roman"/>
          <w:color w:val="1C1C1C"/>
        </w:rPr>
        <w:t xml:space="preserve"> stating</w:t>
      </w:r>
      <w:r w:rsidR="008D51C9">
        <w:rPr>
          <w:rFonts w:ascii="Times New Roman" w:hAnsi="Times New Roman"/>
          <w:color w:val="1C1C1C"/>
        </w:rPr>
        <w:t xml:space="preserve"> “Some quantified or detailed information is required.”</w:t>
      </w:r>
      <w:r w:rsidR="00A81A70">
        <w:rPr>
          <w:rStyle w:val="FootnoteReference"/>
          <w:rFonts w:ascii="Times New Roman" w:hAnsi="Times New Roman"/>
          <w:color w:val="1C1C1C"/>
        </w:rPr>
        <w:footnoteReference w:id="101"/>
      </w:r>
      <w:r w:rsidR="008D51C9">
        <w:rPr>
          <w:rFonts w:ascii="Times New Roman" w:hAnsi="Times New Roman"/>
          <w:color w:val="1C1C1C"/>
        </w:rPr>
        <w:t xml:space="preserve"> The reason the </w:t>
      </w:r>
      <w:r w:rsidR="008D51C9" w:rsidRPr="00EE1ED2">
        <w:rPr>
          <w:rFonts w:ascii="Times New Roman" w:hAnsi="Times New Roman"/>
          <w:i/>
          <w:color w:val="1C1C1C"/>
        </w:rPr>
        <w:t>Te-Moak</w:t>
      </w:r>
      <w:r w:rsidR="008D51C9">
        <w:rPr>
          <w:rFonts w:ascii="Times New Roman" w:hAnsi="Times New Roman"/>
          <w:color w:val="1C1C1C"/>
        </w:rPr>
        <w:t xml:space="preserve"> court did not state the aggregate stand</w:t>
      </w:r>
      <w:r w:rsidR="00EE1ED2">
        <w:rPr>
          <w:rFonts w:ascii="Times New Roman" w:hAnsi="Times New Roman"/>
          <w:color w:val="1C1C1C"/>
        </w:rPr>
        <w:t>ard is</w:t>
      </w:r>
      <w:r>
        <w:rPr>
          <w:rFonts w:ascii="Times New Roman" w:hAnsi="Times New Roman"/>
          <w:color w:val="1C1C1C"/>
        </w:rPr>
        <w:t xml:space="preserve"> because it had no need to. As demonstrated </w:t>
      </w:r>
      <w:r w:rsidRPr="00F419C4">
        <w:rPr>
          <w:rFonts w:ascii="Times New Roman" w:hAnsi="Times New Roman"/>
          <w:i/>
          <w:color w:val="1C1C1C"/>
        </w:rPr>
        <w:t>supra</w:t>
      </w:r>
      <w:r>
        <w:rPr>
          <w:rFonts w:ascii="Times New Roman" w:hAnsi="Times New Roman"/>
          <w:color w:val="1C1C1C"/>
        </w:rPr>
        <w:t>, it</w:t>
      </w:r>
      <w:r w:rsidR="00AF201D">
        <w:rPr>
          <w:rFonts w:ascii="Times New Roman" w:hAnsi="Times New Roman"/>
          <w:color w:val="1C1C1C"/>
        </w:rPr>
        <w:t xml:space="preserve"> was reviewing an agency’s analysis of</w:t>
      </w:r>
      <w:r w:rsidR="008D51C9">
        <w:rPr>
          <w:rFonts w:ascii="Times New Roman" w:hAnsi="Times New Roman"/>
          <w:color w:val="1C1C1C"/>
        </w:rPr>
        <w:t xml:space="preserve"> the cumulative effect of reasonably foreseeable projects, of which</w:t>
      </w:r>
      <w:r w:rsidR="00AF201D">
        <w:rPr>
          <w:rFonts w:ascii="Times New Roman" w:hAnsi="Times New Roman"/>
          <w:color w:val="1C1C1C"/>
        </w:rPr>
        <w:t>,</w:t>
      </w:r>
      <w:r w:rsidR="008D51C9">
        <w:rPr>
          <w:rFonts w:ascii="Times New Roman" w:hAnsi="Times New Roman"/>
          <w:color w:val="1C1C1C"/>
        </w:rPr>
        <w:t xml:space="preserve"> a detail</w:t>
      </w:r>
      <w:r w:rsidR="00EE1ED2">
        <w:rPr>
          <w:rFonts w:ascii="Times New Roman" w:hAnsi="Times New Roman"/>
          <w:color w:val="1C1C1C"/>
        </w:rPr>
        <w:t>ed c</w:t>
      </w:r>
      <w:r w:rsidR="00AF201D">
        <w:rPr>
          <w:rFonts w:ascii="Times New Roman" w:hAnsi="Times New Roman"/>
          <w:color w:val="1C1C1C"/>
        </w:rPr>
        <w:t>atalog is easily compiled.</w:t>
      </w:r>
      <w:r w:rsidR="00A81A70">
        <w:rPr>
          <w:rStyle w:val="FootnoteReference"/>
          <w:rFonts w:ascii="Times New Roman" w:hAnsi="Times New Roman"/>
          <w:color w:val="1C1C1C"/>
        </w:rPr>
        <w:footnoteReference w:id="102"/>
      </w:r>
      <w:r w:rsidR="00AF201D">
        <w:rPr>
          <w:rFonts w:ascii="Times New Roman" w:hAnsi="Times New Roman"/>
          <w:color w:val="1C1C1C"/>
        </w:rPr>
        <w:t xml:space="preserve"> </w:t>
      </w:r>
    </w:p>
    <w:p w14:paraId="62F0421F" w14:textId="456AD966" w:rsidR="001B4F7C" w:rsidRDefault="00AF201D" w:rsidP="00D95695">
      <w:pPr>
        <w:widowControl w:val="0"/>
        <w:autoSpaceDE w:val="0"/>
        <w:autoSpaceDN w:val="0"/>
        <w:adjustRightInd w:val="0"/>
        <w:spacing w:line="360" w:lineRule="auto"/>
        <w:ind w:firstLine="720"/>
        <w:rPr>
          <w:rFonts w:ascii="Times New Roman" w:hAnsi="Times New Roman"/>
          <w:color w:val="1C1C1C"/>
        </w:rPr>
      </w:pPr>
      <w:r>
        <w:rPr>
          <w:rFonts w:ascii="Times New Roman" w:hAnsi="Times New Roman"/>
          <w:color w:val="1C1C1C"/>
        </w:rPr>
        <w:t>In contrast,</w:t>
      </w:r>
      <w:r w:rsidR="00EE1ED2">
        <w:rPr>
          <w:rFonts w:ascii="Times New Roman" w:hAnsi="Times New Roman"/>
          <w:color w:val="1C1C1C"/>
        </w:rPr>
        <w:t xml:space="preserve"> the</w:t>
      </w:r>
      <w:r>
        <w:rPr>
          <w:rFonts w:ascii="Times New Roman" w:hAnsi="Times New Roman"/>
          <w:color w:val="1C1C1C"/>
        </w:rPr>
        <w:t xml:space="preserve"> </w:t>
      </w:r>
      <w:r>
        <w:rPr>
          <w:rFonts w:ascii="Times New Roman" w:hAnsi="Times New Roman"/>
          <w:i/>
          <w:color w:val="1C1C1C"/>
        </w:rPr>
        <w:t>Friends</w:t>
      </w:r>
      <w:r>
        <w:rPr>
          <w:rFonts w:ascii="Times New Roman" w:hAnsi="Times New Roman"/>
          <w:color w:val="1C1C1C"/>
        </w:rPr>
        <w:t xml:space="preserve"> court was reviewing the Forest Service’s analysis of the </w:t>
      </w:r>
      <w:r w:rsidR="008D51C9">
        <w:rPr>
          <w:rFonts w:ascii="Times New Roman" w:hAnsi="Times New Roman"/>
          <w:color w:val="1C1C1C"/>
        </w:rPr>
        <w:t>cumulative ef</w:t>
      </w:r>
      <w:r>
        <w:rPr>
          <w:rFonts w:ascii="Times New Roman" w:hAnsi="Times New Roman"/>
          <w:color w:val="1C1C1C"/>
        </w:rPr>
        <w:t xml:space="preserve">fect of past projects, of which, </w:t>
      </w:r>
      <w:r w:rsidR="005D274F">
        <w:rPr>
          <w:rFonts w:ascii="Times New Roman" w:hAnsi="Times New Roman"/>
          <w:color w:val="1C1C1C"/>
        </w:rPr>
        <w:t>compiling a detailed catalog is often</w:t>
      </w:r>
      <w:r>
        <w:rPr>
          <w:rFonts w:ascii="Times New Roman" w:hAnsi="Times New Roman"/>
          <w:color w:val="1C1C1C"/>
        </w:rPr>
        <w:t xml:space="preserve"> fr</w:t>
      </w:r>
      <w:r w:rsidR="00F419C4">
        <w:rPr>
          <w:rFonts w:ascii="Times New Roman" w:hAnsi="Times New Roman"/>
          <w:color w:val="1C1C1C"/>
        </w:rPr>
        <w:t>ustratingly difficult</w:t>
      </w:r>
      <w:r w:rsidR="008D51C9">
        <w:rPr>
          <w:rFonts w:ascii="Times New Roman" w:hAnsi="Times New Roman"/>
          <w:color w:val="1C1C1C"/>
        </w:rPr>
        <w:t>.</w:t>
      </w:r>
      <w:r w:rsidR="00A81A70">
        <w:rPr>
          <w:rStyle w:val="FootnoteReference"/>
          <w:rFonts w:ascii="Times New Roman" w:hAnsi="Times New Roman"/>
          <w:color w:val="1C1C1C"/>
        </w:rPr>
        <w:footnoteReference w:id="103"/>
      </w:r>
      <w:r>
        <w:rPr>
          <w:rFonts w:ascii="Times New Roman" w:hAnsi="Times New Roman"/>
          <w:color w:val="1C1C1C"/>
        </w:rPr>
        <w:t xml:space="preserve"> </w:t>
      </w:r>
      <w:r w:rsidR="00F419C4">
        <w:rPr>
          <w:rFonts w:ascii="Times New Roman" w:hAnsi="Times New Roman"/>
          <w:color w:val="1C1C1C"/>
        </w:rPr>
        <w:t>As noted supra, the CEQ disagreed</w:t>
      </w:r>
      <w:r w:rsidR="00E032D9">
        <w:rPr>
          <w:rFonts w:ascii="Times New Roman" w:hAnsi="Times New Roman"/>
          <w:color w:val="1C1C1C"/>
        </w:rPr>
        <w:t xml:space="preserve"> so strongly</w:t>
      </w:r>
      <w:r w:rsidR="00F419C4">
        <w:rPr>
          <w:rFonts w:ascii="Times New Roman" w:hAnsi="Times New Roman"/>
          <w:color w:val="1C1C1C"/>
        </w:rPr>
        <w:t xml:space="preserve"> with “detailed catalogue” standard</w:t>
      </w:r>
      <w:r w:rsidR="003316C3">
        <w:rPr>
          <w:rFonts w:ascii="Times New Roman" w:hAnsi="Times New Roman"/>
          <w:color w:val="1C1C1C"/>
        </w:rPr>
        <w:t xml:space="preserve"> that it issued a guidance memorandum</w:t>
      </w:r>
      <w:r w:rsidR="003316C3">
        <w:rPr>
          <w:rFonts w:ascii="Times New Roman" w:hAnsi="Times New Roman"/>
        </w:rPr>
        <w:t xml:space="preserve"> stating that an agency can focus on the “current aggregate effects of past actions without delving into the historical details of individual past actions.</w:t>
      </w:r>
      <w:r w:rsidR="001B4F7C">
        <w:rPr>
          <w:rFonts w:ascii="Times New Roman" w:hAnsi="Times New Roman"/>
        </w:rPr>
        <w:t>”</w:t>
      </w:r>
      <w:r w:rsidR="00A81A70">
        <w:rPr>
          <w:rStyle w:val="FootnoteReference"/>
          <w:rFonts w:ascii="Times New Roman" w:hAnsi="Times New Roman"/>
        </w:rPr>
        <w:footnoteReference w:id="104"/>
      </w:r>
      <w:r w:rsidR="005D274F">
        <w:rPr>
          <w:rFonts w:ascii="Times New Roman" w:hAnsi="Times New Roman"/>
          <w:color w:val="1C1C1C"/>
        </w:rPr>
        <w:t xml:space="preserve"> The </w:t>
      </w:r>
      <w:r w:rsidR="00E032D9">
        <w:rPr>
          <w:rFonts w:ascii="Times New Roman" w:hAnsi="Times New Roman"/>
          <w:color w:val="1C1C1C"/>
        </w:rPr>
        <w:t xml:space="preserve">CEQ’s </w:t>
      </w:r>
      <w:r w:rsidR="005D274F">
        <w:rPr>
          <w:rFonts w:ascii="Times New Roman" w:hAnsi="Times New Roman"/>
          <w:color w:val="1C1C1C"/>
        </w:rPr>
        <w:t xml:space="preserve">aggregation standard was </w:t>
      </w:r>
      <w:r w:rsidR="00E032D9">
        <w:rPr>
          <w:rFonts w:ascii="Times New Roman" w:hAnsi="Times New Roman"/>
          <w:color w:val="1C1C1C"/>
        </w:rPr>
        <w:t>upheld in the</w:t>
      </w:r>
      <w:r w:rsidR="005D274F">
        <w:rPr>
          <w:rFonts w:ascii="Times New Roman" w:hAnsi="Times New Roman"/>
          <w:color w:val="1C1C1C"/>
        </w:rPr>
        <w:t xml:space="preserve"> </w:t>
      </w:r>
      <w:r w:rsidR="005D274F" w:rsidRPr="00E032D9">
        <w:rPr>
          <w:rFonts w:ascii="Times New Roman" w:hAnsi="Times New Roman"/>
          <w:i/>
          <w:color w:val="1C1C1C"/>
        </w:rPr>
        <w:t>LOWD</w:t>
      </w:r>
      <w:r w:rsidR="005D274F">
        <w:rPr>
          <w:rFonts w:ascii="Times New Roman" w:hAnsi="Times New Roman"/>
          <w:color w:val="1C1C1C"/>
        </w:rPr>
        <w:t>, and as such, over-ruled the detailed catalog standard when the court is reviewing the cumulative effect of past projects.</w:t>
      </w:r>
      <w:r w:rsidR="002D5B3A">
        <w:rPr>
          <w:rStyle w:val="FootnoteReference"/>
          <w:rFonts w:ascii="Times New Roman" w:hAnsi="Times New Roman"/>
          <w:color w:val="1C1C1C"/>
        </w:rPr>
        <w:footnoteReference w:id="105"/>
      </w:r>
      <w:r w:rsidR="005D274F">
        <w:rPr>
          <w:rFonts w:ascii="Times New Roman" w:hAnsi="Times New Roman"/>
          <w:color w:val="1C1C1C"/>
        </w:rPr>
        <w:t xml:space="preserve"> </w:t>
      </w:r>
      <w:r w:rsidR="004F457F">
        <w:rPr>
          <w:rFonts w:ascii="Times New Roman" w:hAnsi="Times New Roman"/>
          <w:color w:val="1C1C1C"/>
        </w:rPr>
        <w:t xml:space="preserve">Therefore, when the </w:t>
      </w:r>
      <w:r w:rsidR="004F457F" w:rsidRPr="00E032D9">
        <w:rPr>
          <w:rFonts w:ascii="Times New Roman" w:hAnsi="Times New Roman"/>
          <w:i/>
          <w:color w:val="1C1C1C"/>
        </w:rPr>
        <w:t>CELP</w:t>
      </w:r>
      <w:r w:rsidR="004F457F">
        <w:rPr>
          <w:rFonts w:ascii="Times New Roman" w:hAnsi="Times New Roman"/>
          <w:color w:val="1C1C1C"/>
        </w:rPr>
        <w:t xml:space="preserve"> opinion states that an agency “may, however, aggregate” its cumulative effect of past projects analysis</w:t>
      </w:r>
      <w:r w:rsidR="001B4F7C">
        <w:rPr>
          <w:rFonts w:ascii="Times New Roman" w:hAnsi="Times New Roman"/>
          <w:color w:val="1C1C1C"/>
        </w:rPr>
        <w:t>, it is squarely on point.</w:t>
      </w:r>
      <w:r w:rsidR="002D5B3A">
        <w:rPr>
          <w:rStyle w:val="FootnoteReference"/>
          <w:rFonts w:ascii="Times New Roman" w:hAnsi="Times New Roman"/>
          <w:color w:val="1C1C1C"/>
        </w:rPr>
        <w:footnoteReference w:id="106"/>
      </w:r>
      <w:r w:rsidR="001B4F7C">
        <w:rPr>
          <w:rFonts w:ascii="Times New Roman" w:hAnsi="Times New Roman"/>
          <w:color w:val="1C1C1C"/>
        </w:rPr>
        <w:t xml:space="preserve"> The context of the “may, however” language is not to be interpreted to mean that the court has a choice between the aggregate standard, and the long over-ruled detailed catalogue standard.</w:t>
      </w:r>
      <w:r w:rsidR="002D5B3A">
        <w:rPr>
          <w:rStyle w:val="FootnoteReference"/>
          <w:rFonts w:ascii="Times New Roman" w:hAnsi="Times New Roman"/>
          <w:color w:val="1C1C1C"/>
        </w:rPr>
        <w:footnoteReference w:id="107"/>
      </w:r>
      <w:r w:rsidR="001B4F7C">
        <w:rPr>
          <w:rFonts w:ascii="Times New Roman" w:hAnsi="Times New Roman"/>
          <w:color w:val="1C1C1C"/>
        </w:rPr>
        <w:t xml:space="preserve"> The language must be read in the context of the preceding sentence in </w:t>
      </w:r>
      <w:r w:rsidR="001B4F7C" w:rsidRPr="00E032D9">
        <w:rPr>
          <w:rFonts w:ascii="Times New Roman" w:hAnsi="Times New Roman"/>
          <w:i/>
          <w:color w:val="1C1C1C"/>
        </w:rPr>
        <w:t>CELP</w:t>
      </w:r>
      <w:r w:rsidR="001B4F7C">
        <w:rPr>
          <w:rFonts w:ascii="Times New Roman" w:hAnsi="Times New Roman"/>
          <w:color w:val="1C1C1C"/>
        </w:rPr>
        <w:t xml:space="preserve"> that, “general statements … do not constitute a hard look absent a justification why more definitive information could not be provided.”</w:t>
      </w:r>
      <w:r w:rsidR="002D5B3A">
        <w:rPr>
          <w:rStyle w:val="FootnoteReference"/>
          <w:rFonts w:ascii="Times New Roman" w:hAnsi="Times New Roman"/>
          <w:color w:val="1C1C1C"/>
        </w:rPr>
        <w:footnoteReference w:id="108"/>
      </w:r>
      <w:r w:rsidR="001B4F7C">
        <w:rPr>
          <w:rFonts w:ascii="Times New Roman" w:hAnsi="Times New Roman"/>
          <w:color w:val="1C1C1C"/>
        </w:rPr>
        <w:t xml:space="preserve"> In other words, an agency cannot make </w:t>
      </w:r>
      <w:r w:rsidR="00B865EF">
        <w:rPr>
          <w:rFonts w:ascii="Times New Roman" w:hAnsi="Times New Roman"/>
          <w:color w:val="1C1C1C"/>
        </w:rPr>
        <w:t>“general,” or, aggregated statements, without justifying why it cannot provide definitive information about past projects. If the agency does provide justification why it cannot provide definitive information, it “may, however” perform an aggregate analysis of the cumul</w:t>
      </w:r>
      <w:r w:rsidR="0030773A">
        <w:rPr>
          <w:rFonts w:ascii="Times New Roman" w:hAnsi="Times New Roman"/>
          <w:color w:val="1C1C1C"/>
        </w:rPr>
        <w:t xml:space="preserve">ative effect of past projects. </w:t>
      </w:r>
    </w:p>
    <w:p w14:paraId="462A565F" w14:textId="77777777" w:rsidR="00DA2CC2" w:rsidRDefault="0030773A" w:rsidP="00DA2CC2">
      <w:pPr>
        <w:widowControl w:val="0"/>
        <w:autoSpaceDE w:val="0"/>
        <w:autoSpaceDN w:val="0"/>
        <w:adjustRightInd w:val="0"/>
        <w:spacing w:line="360" w:lineRule="auto"/>
        <w:ind w:firstLine="720"/>
        <w:rPr>
          <w:rFonts w:ascii="Times New Roman" w:hAnsi="Times New Roman"/>
          <w:color w:val="1C1C1C"/>
        </w:rPr>
      </w:pPr>
      <w:r>
        <w:rPr>
          <w:rFonts w:ascii="Times New Roman" w:hAnsi="Times New Roman"/>
          <w:color w:val="1C1C1C"/>
        </w:rPr>
        <w:t>A reasonable</w:t>
      </w:r>
      <w:r w:rsidR="00B865EF">
        <w:rPr>
          <w:rFonts w:ascii="Times New Roman" w:hAnsi="Times New Roman"/>
          <w:color w:val="1C1C1C"/>
        </w:rPr>
        <w:t xml:space="preserve"> explanation </w:t>
      </w:r>
      <w:r w:rsidR="003C7C50">
        <w:rPr>
          <w:rFonts w:ascii="Times New Roman" w:hAnsi="Times New Roman"/>
          <w:color w:val="1C1C1C"/>
        </w:rPr>
        <w:t>for the court’s error is that it did not recognize the importance of the statement of law</w:t>
      </w:r>
      <w:r w:rsidR="005D274F">
        <w:rPr>
          <w:rFonts w:ascii="Times New Roman" w:hAnsi="Times New Roman"/>
          <w:color w:val="1C1C1C"/>
        </w:rPr>
        <w:t xml:space="preserve"> in both </w:t>
      </w:r>
      <w:r w:rsidR="005D274F" w:rsidRPr="001E344A">
        <w:rPr>
          <w:rFonts w:ascii="Times New Roman" w:hAnsi="Times New Roman"/>
          <w:i/>
          <w:color w:val="1C1C1C"/>
        </w:rPr>
        <w:t>CELP</w:t>
      </w:r>
      <w:r w:rsidR="005D274F">
        <w:rPr>
          <w:rFonts w:ascii="Times New Roman" w:hAnsi="Times New Roman"/>
          <w:color w:val="1C1C1C"/>
        </w:rPr>
        <w:t xml:space="preserve"> and </w:t>
      </w:r>
      <w:r w:rsidR="005D274F" w:rsidRPr="001E344A">
        <w:rPr>
          <w:rFonts w:ascii="Times New Roman" w:hAnsi="Times New Roman"/>
          <w:i/>
          <w:color w:val="1C1C1C"/>
        </w:rPr>
        <w:t>Te-Moak</w:t>
      </w:r>
      <w:r w:rsidR="005D274F">
        <w:rPr>
          <w:rFonts w:ascii="Times New Roman" w:hAnsi="Times New Roman"/>
          <w:color w:val="1C1C1C"/>
        </w:rPr>
        <w:t xml:space="preserve"> that, </w:t>
      </w:r>
      <w:r w:rsidR="00282038">
        <w:rPr>
          <w:rFonts w:ascii="Times New Roman" w:hAnsi="Times New Roman"/>
          <w:color w:val="1C1C1C"/>
        </w:rPr>
        <w:t xml:space="preserve">“general statements about possible effects and some risk do not constitute a hard look absent a justification why more definitive information could not be provided” </w:t>
      </w:r>
      <w:r w:rsidR="003C7C50">
        <w:rPr>
          <w:rFonts w:ascii="Times New Roman" w:hAnsi="Times New Roman"/>
          <w:color w:val="1C1C1C"/>
        </w:rPr>
        <w:t xml:space="preserve">and eliminated it </w:t>
      </w:r>
      <w:r w:rsidR="00434029">
        <w:rPr>
          <w:rFonts w:ascii="Times New Roman" w:hAnsi="Times New Roman"/>
          <w:color w:val="1C1C1C"/>
        </w:rPr>
        <w:t>because it believed it to be mere surplussage</w:t>
      </w:r>
      <w:r w:rsidR="00282038">
        <w:rPr>
          <w:rFonts w:ascii="Times New Roman" w:hAnsi="Times New Roman"/>
          <w:color w:val="1C1C1C"/>
        </w:rPr>
        <w:t>.</w:t>
      </w:r>
      <w:r w:rsidR="009F17BA">
        <w:rPr>
          <w:rStyle w:val="FootnoteReference"/>
          <w:rFonts w:ascii="Times New Roman" w:hAnsi="Times New Roman"/>
          <w:color w:val="1C1C1C"/>
        </w:rPr>
        <w:footnoteReference w:id="109"/>
      </w:r>
      <w:r w:rsidR="00282038">
        <w:rPr>
          <w:rFonts w:ascii="Times New Roman" w:hAnsi="Times New Roman"/>
          <w:color w:val="1C1C1C"/>
        </w:rPr>
        <w:t xml:space="preserve"> But th</w:t>
      </w:r>
      <w:r w:rsidR="003C7C50">
        <w:rPr>
          <w:rFonts w:ascii="Times New Roman" w:hAnsi="Times New Roman"/>
          <w:color w:val="1C1C1C"/>
        </w:rPr>
        <w:t>e language is crit</w:t>
      </w:r>
      <w:r w:rsidR="001E344A">
        <w:rPr>
          <w:rFonts w:ascii="Times New Roman" w:hAnsi="Times New Roman"/>
          <w:color w:val="1C1C1C"/>
        </w:rPr>
        <w:t>ical. W</w:t>
      </w:r>
      <w:r w:rsidR="003C7C50">
        <w:rPr>
          <w:rFonts w:ascii="Times New Roman" w:hAnsi="Times New Roman"/>
          <w:color w:val="1C1C1C"/>
        </w:rPr>
        <w:t>itho</w:t>
      </w:r>
      <w:r w:rsidR="00E032D9">
        <w:rPr>
          <w:rFonts w:ascii="Times New Roman" w:hAnsi="Times New Roman"/>
          <w:color w:val="1C1C1C"/>
        </w:rPr>
        <w:t>ut it courts would not be on</w:t>
      </w:r>
      <w:r w:rsidR="003C7C50">
        <w:rPr>
          <w:rFonts w:ascii="Times New Roman" w:hAnsi="Times New Roman"/>
          <w:color w:val="1C1C1C"/>
        </w:rPr>
        <w:t xml:space="preserve"> alert</w:t>
      </w:r>
      <w:r w:rsidR="00282038">
        <w:rPr>
          <w:rFonts w:ascii="Times New Roman" w:hAnsi="Times New Roman"/>
          <w:color w:val="1C1C1C"/>
        </w:rPr>
        <w:t xml:space="preserve"> </w:t>
      </w:r>
      <w:r w:rsidR="003C7C50">
        <w:rPr>
          <w:rFonts w:ascii="Times New Roman" w:hAnsi="Times New Roman"/>
          <w:color w:val="1C1C1C"/>
        </w:rPr>
        <w:t>for indications by</w:t>
      </w:r>
      <w:r w:rsidR="00282038">
        <w:rPr>
          <w:rFonts w:ascii="Times New Roman" w:hAnsi="Times New Roman"/>
          <w:color w:val="1C1C1C"/>
        </w:rPr>
        <w:t xml:space="preserve"> </w:t>
      </w:r>
      <w:r w:rsidR="003C7C50">
        <w:rPr>
          <w:rFonts w:ascii="Times New Roman" w:hAnsi="Times New Roman"/>
          <w:color w:val="1C1C1C"/>
        </w:rPr>
        <w:t xml:space="preserve">an </w:t>
      </w:r>
      <w:r w:rsidR="00282038">
        <w:rPr>
          <w:rFonts w:ascii="Times New Roman" w:hAnsi="Times New Roman"/>
          <w:color w:val="1C1C1C"/>
        </w:rPr>
        <w:t xml:space="preserve">agency </w:t>
      </w:r>
      <w:r w:rsidR="003C7C50">
        <w:rPr>
          <w:rFonts w:ascii="Times New Roman" w:hAnsi="Times New Roman"/>
          <w:color w:val="1C1C1C"/>
        </w:rPr>
        <w:t>that is does not have the “definitive information” necessary to provide a detailed catal</w:t>
      </w:r>
      <w:r w:rsidR="003547CE">
        <w:rPr>
          <w:rFonts w:ascii="Times New Roman" w:hAnsi="Times New Roman"/>
          <w:color w:val="1C1C1C"/>
        </w:rPr>
        <w:t>ogue of all the past projects.</w:t>
      </w:r>
      <w:r w:rsidR="009F17BA">
        <w:rPr>
          <w:rStyle w:val="FootnoteReference"/>
          <w:rFonts w:ascii="Times New Roman" w:hAnsi="Times New Roman"/>
          <w:color w:val="1C1C1C"/>
        </w:rPr>
        <w:footnoteReference w:id="110"/>
      </w:r>
      <w:r w:rsidR="003547CE">
        <w:rPr>
          <w:rFonts w:ascii="Times New Roman" w:hAnsi="Times New Roman"/>
          <w:color w:val="1C1C1C"/>
        </w:rPr>
        <w:t xml:space="preserve"> </w:t>
      </w:r>
      <w:r w:rsidR="001A5897">
        <w:rPr>
          <w:rFonts w:ascii="Times New Roman" w:hAnsi="Times New Roman"/>
          <w:color w:val="1C1C1C"/>
        </w:rPr>
        <w:t>Without the definitive information, the CEQ and associated 9</w:t>
      </w:r>
      <w:r w:rsidR="001A5897" w:rsidRPr="001A5897">
        <w:rPr>
          <w:rFonts w:ascii="Times New Roman" w:hAnsi="Times New Roman"/>
          <w:color w:val="1C1C1C"/>
          <w:vertAlign w:val="superscript"/>
        </w:rPr>
        <w:t>th</w:t>
      </w:r>
      <w:r w:rsidR="001A5897">
        <w:rPr>
          <w:rFonts w:ascii="Times New Roman" w:hAnsi="Times New Roman"/>
          <w:color w:val="1C1C1C"/>
        </w:rPr>
        <w:t xml:space="preserve"> Circuit precedent make clear that the agency’s alternative is to aggregate the past cumulative effects through analysis of the existing conditions of the land.</w:t>
      </w:r>
      <w:r w:rsidR="009F17BA">
        <w:rPr>
          <w:rStyle w:val="FootnoteReference"/>
          <w:rFonts w:ascii="Times New Roman" w:hAnsi="Times New Roman"/>
          <w:color w:val="1C1C1C"/>
        </w:rPr>
        <w:footnoteReference w:id="111"/>
      </w:r>
      <w:r w:rsidR="001A5897">
        <w:rPr>
          <w:rFonts w:ascii="Times New Roman" w:hAnsi="Times New Roman"/>
          <w:color w:val="1C1C1C"/>
        </w:rPr>
        <w:t xml:space="preserve"> Thus</w:t>
      </w:r>
      <w:r w:rsidR="00452904">
        <w:rPr>
          <w:rFonts w:ascii="Times New Roman" w:hAnsi="Times New Roman"/>
          <w:color w:val="1C1C1C"/>
        </w:rPr>
        <w:t xml:space="preserve">, armed with </w:t>
      </w:r>
      <w:r w:rsidR="006E3081">
        <w:rPr>
          <w:rFonts w:ascii="Times New Roman" w:hAnsi="Times New Roman"/>
          <w:color w:val="1C1C1C"/>
        </w:rPr>
        <w:t>the knowledge that an agency has</w:t>
      </w:r>
      <w:r w:rsidR="00452904">
        <w:rPr>
          <w:rFonts w:ascii="Times New Roman" w:hAnsi="Times New Roman"/>
          <w:color w:val="1C1C1C"/>
        </w:rPr>
        <w:t xml:space="preserve"> provide</w:t>
      </w:r>
      <w:r w:rsidR="006E3081">
        <w:rPr>
          <w:rFonts w:ascii="Times New Roman" w:hAnsi="Times New Roman"/>
          <w:color w:val="1C1C1C"/>
        </w:rPr>
        <w:t>d</w:t>
      </w:r>
      <w:r w:rsidR="00452904">
        <w:rPr>
          <w:rFonts w:ascii="Times New Roman" w:hAnsi="Times New Roman"/>
          <w:color w:val="1C1C1C"/>
        </w:rPr>
        <w:t xml:space="preserve"> “justification” for</w:t>
      </w:r>
      <w:r w:rsidR="003547CE">
        <w:rPr>
          <w:rFonts w:ascii="Times New Roman" w:hAnsi="Times New Roman"/>
          <w:color w:val="1C1C1C"/>
        </w:rPr>
        <w:t xml:space="preserve"> conducting an</w:t>
      </w:r>
      <w:r w:rsidR="00434029">
        <w:rPr>
          <w:rFonts w:ascii="Times New Roman" w:hAnsi="Times New Roman"/>
          <w:color w:val="1C1C1C"/>
        </w:rPr>
        <w:t xml:space="preserve"> </w:t>
      </w:r>
      <w:r w:rsidR="003547CE">
        <w:rPr>
          <w:rFonts w:ascii="Times New Roman" w:hAnsi="Times New Roman"/>
          <w:color w:val="1C1C1C"/>
        </w:rPr>
        <w:t xml:space="preserve">aggregate </w:t>
      </w:r>
      <w:r w:rsidR="00434029">
        <w:rPr>
          <w:rFonts w:ascii="Times New Roman" w:hAnsi="Times New Roman"/>
          <w:color w:val="1C1C1C"/>
        </w:rPr>
        <w:t xml:space="preserve">cumulative effect of past projects </w:t>
      </w:r>
      <w:r w:rsidR="00452904">
        <w:rPr>
          <w:rFonts w:ascii="Times New Roman" w:hAnsi="Times New Roman"/>
          <w:color w:val="1C1C1C"/>
        </w:rPr>
        <w:t>analysis;</w:t>
      </w:r>
      <w:r w:rsidR="001E344A">
        <w:rPr>
          <w:rFonts w:ascii="Times New Roman" w:hAnsi="Times New Roman"/>
          <w:color w:val="1C1C1C"/>
        </w:rPr>
        <w:t xml:space="preserve"> a</w:t>
      </w:r>
      <w:r w:rsidR="003547CE">
        <w:rPr>
          <w:rFonts w:ascii="Times New Roman" w:hAnsi="Times New Roman"/>
          <w:color w:val="1C1C1C"/>
        </w:rPr>
        <w:t xml:space="preserve"> court must conclude that it is</w:t>
      </w:r>
      <w:r w:rsidR="00F53A68">
        <w:rPr>
          <w:rFonts w:ascii="Times New Roman" w:hAnsi="Times New Roman"/>
          <w:color w:val="1C1C1C"/>
        </w:rPr>
        <w:t xml:space="preserve"> bound to follow the process</w:t>
      </w:r>
      <w:r w:rsidR="00434029">
        <w:rPr>
          <w:rFonts w:ascii="Times New Roman" w:hAnsi="Times New Roman"/>
          <w:color w:val="1C1C1C"/>
        </w:rPr>
        <w:t xml:space="preserve"> laid out in </w:t>
      </w:r>
      <w:r w:rsidR="00434029" w:rsidRPr="001A5897">
        <w:rPr>
          <w:rFonts w:ascii="Times New Roman" w:hAnsi="Times New Roman"/>
          <w:i/>
          <w:color w:val="1C1C1C"/>
        </w:rPr>
        <w:t>CELP</w:t>
      </w:r>
      <w:r w:rsidR="00F53A68">
        <w:rPr>
          <w:rFonts w:ascii="Times New Roman" w:hAnsi="Times New Roman"/>
          <w:color w:val="1C1C1C"/>
        </w:rPr>
        <w:t xml:space="preserve"> for reviewing the adequacy of an of an agency’s cumulative effect of past projects analysis.</w:t>
      </w:r>
      <w:r w:rsidR="009F17BA">
        <w:rPr>
          <w:rStyle w:val="FootnoteReference"/>
          <w:rFonts w:ascii="Times New Roman" w:hAnsi="Times New Roman"/>
          <w:color w:val="1C1C1C"/>
        </w:rPr>
        <w:footnoteReference w:id="112"/>
      </w:r>
      <w:r w:rsidR="00F53A68">
        <w:rPr>
          <w:rFonts w:ascii="Times New Roman" w:hAnsi="Times New Roman"/>
          <w:color w:val="1C1C1C"/>
        </w:rPr>
        <w:t xml:space="preserve"> </w:t>
      </w:r>
      <w:r w:rsidR="003547CE">
        <w:rPr>
          <w:rFonts w:ascii="Times New Roman" w:hAnsi="Times New Roman"/>
          <w:color w:val="1C1C1C"/>
        </w:rPr>
        <w:t xml:space="preserve">A court cannot, as was the practice in </w:t>
      </w:r>
      <w:r w:rsidR="003547CE" w:rsidRPr="003547CE">
        <w:rPr>
          <w:rFonts w:ascii="Times New Roman" w:hAnsi="Times New Roman"/>
          <w:i/>
          <w:color w:val="1C1C1C"/>
        </w:rPr>
        <w:t>Friends</w:t>
      </w:r>
      <w:r w:rsidR="003547CE">
        <w:rPr>
          <w:rFonts w:ascii="Times New Roman" w:hAnsi="Times New Roman"/>
          <w:color w:val="1C1C1C"/>
        </w:rPr>
        <w:t>, simply</w:t>
      </w:r>
      <w:r w:rsidR="00452904">
        <w:rPr>
          <w:rFonts w:ascii="Times New Roman" w:hAnsi="Times New Roman"/>
          <w:color w:val="1C1C1C"/>
        </w:rPr>
        <w:t xml:space="preserve"> omit settled 9</w:t>
      </w:r>
      <w:r w:rsidR="00452904" w:rsidRPr="00452904">
        <w:rPr>
          <w:rFonts w:ascii="Times New Roman" w:hAnsi="Times New Roman"/>
          <w:color w:val="1C1C1C"/>
          <w:vertAlign w:val="superscript"/>
        </w:rPr>
        <w:t>th</w:t>
      </w:r>
      <w:r w:rsidR="00452904">
        <w:rPr>
          <w:rFonts w:ascii="Times New Roman" w:hAnsi="Times New Roman"/>
          <w:color w:val="1C1C1C"/>
        </w:rPr>
        <w:t xml:space="preserve"> Circuit precedent and</w:t>
      </w:r>
      <w:r w:rsidR="003547CE">
        <w:rPr>
          <w:rFonts w:ascii="Times New Roman" w:hAnsi="Times New Roman"/>
          <w:color w:val="1C1C1C"/>
        </w:rPr>
        <w:t xml:space="preserve"> decide t</w:t>
      </w:r>
      <w:r w:rsidR="00452904">
        <w:rPr>
          <w:rFonts w:ascii="Times New Roman" w:hAnsi="Times New Roman"/>
          <w:color w:val="1C1C1C"/>
        </w:rPr>
        <w:t>o first review an EA using the</w:t>
      </w:r>
      <w:r w:rsidR="003547CE">
        <w:rPr>
          <w:rFonts w:ascii="Times New Roman" w:hAnsi="Times New Roman"/>
          <w:color w:val="1C1C1C"/>
        </w:rPr>
        <w:t xml:space="preserve"> distinguishable detailed catalogue st</w:t>
      </w:r>
      <w:r w:rsidR="00E032D9">
        <w:rPr>
          <w:rFonts w:ascii="Times New Roman" w:hAnsi="Times New Roman"/>
          <w:color w:val="1C1C1C"/>
        </w:rPr>
        <w:t>andard</w:t>
      </w:r>
      <w:r w:rsidR="00452904">
        <w:rPr>
          <w:rFonts w:ascii="Times New Roman" w:hAnsi="Times New Roman"/>
          <w:color w:val="1C1C1C"/>
        </w:rPr>
        <w:t xml:space="preserve"> from </w:t>
      </w:r>
      <w:r w:rsidR="00452904" w:rsidRPr="00452904">
        <w:rPr>
          <w:rFonts w:ascii="Times New Roman" w:hAnsi="Times New Roman"/>
          <w:i/>
          <w:color w:val="1C1C1C"/>
        </w:rPr>
        <w:t>Te-Moak</w:t>
      </w:r>
      <w:r w:rsidR="00452904">
        <w:rPr>
          <w:rFonts w:ascii="Times New Roman" w:hAnsi="Times New Roman"/>
          <w:color w:val="1C1C1C"/>
        </w:rPr>
        <w:t>, then,</w:t>
      </w:r>
      <w:r w:rsidR="00E032D9">
        <w:rPr>
          <w:rFonts w:ascii="Times New Roman" w:hAnsi="Times New Roman"/>
          <w:color w:val="1C1C1C"/>
        </w:rPr>
        <w:t xml:space="preserve"> “in the alternative,” </w:t>
      </w:r>
      <w:r w:rsidR="00452904">
        <w:rPr>
          <w:rFonts w:ascii="Times New Roman" w:hAnsi="Times New Roman"/>
          <w:color w:val="1C1C1C"/>
        </w:rPr>
        <w:t xml:space="preserve">review it under </w:t>
      </w:r>
      <w:r w:rsidR="00452904">
        <w:rPr>
          <w:rFonts w:ascii="Times New Roman" w:hAnsi="Times New Roman"/>
          <w:i/>
          <w:color w:val="1C1C1C"/>
        </w:rPr>
        <w:t>CELP’s</w:t>
      </w:r>
      <w:r w:rsidR="00452904">
        <w:rPr>
          <w:rFonts w:ascii="Times New Roman" w:hAnsi="Times New Roman"/>
          <w:color w:val="1C1C1C"/>
        </w:rPr>
        <w:t xml:space="preserve"> aggregation</w:t>
      </w:r>
      <w:r w:rsidR="003547CE">
        <w:rPr>
          <w:rFonts w:ascii="Times New Roman" w:hAnsi="Times New Roman"/>
          <w:color w:val="1C1C1C"/>
        </w:rPr>
        <w:t xml:space="preserve"> standard.</w:t>
      </w:r>
      <w:r w:rsidR="009F17BA">
        <w:rPr>
          <w:rStyle w:val="FootnoteReference"/>
          <w:rFonts w:ascii="Times New Roman" w:hAnsi="Times New Roman"/>
          <w:color w:val="1C1C1C"/>
        </w:rPr>
        <w:footnoteReference w:id="113"/>
      </w:r>
      <w:r w:rsidR="006E3081">
        <w:rPr>
          <w:rFonts w:ascii="Times New Roman" w:hAnsi="Times New Roman"/>
          <w:color w:val="1C1C1C"/>
        </w:rPr>
        <w:t xml:space="preserve"> As will be shown, doing so compounded the negative impact of an already errant opinion.</w:t>
      </w:r>
    </w:p>
    <w:p w14:paraId="7AD15F4C" w14:textId="77777777" w:rsidR="00DA2CC2" w:rsidRDefault="00DA2CC2" w:rsidP="00DA2CC2">
      <w:pPr>
        <w:widowControl w:val="0"/>
        <w:autoSpaceDE w:val="0"/>
        <w:autoSpaceDN w:val="0"/>
        <w:adjustRightInd w:val="0"/>
        <w:spacing w:line="360" w:lineRule="auto"/>
        <w:ind w:firstLine="720"/>
        <w:rPr>
          <w:rFonts w:ascii="Times New Roman" w:hAnsi="Times New Roman"/>
          <w:color w:val="1C1C1C"/>
        </w:rPr>
      </w:pPr>
    </w:p>
    <w:p w14:paraId="7DCC6E02" w14:textId="61404CDB" w:rsidR="00EE32A2" w:rsidRPr="00DA2CC2" w:rsidRDefault="00EE32A2" w:rsidP="00DA2CC2">
      <w:pPr>
        <w:widowControl w:val="0"/>
        <w:autoSpaceDE w:val="0"/>
        <w:autoSpaceDN w:val="0"/>
        <w:adjustRightInd w:val="0"/>
        <w:spacing w:line="360" w:lineRule="auto"/>
        <w:rPr>
          <w:rFonts w:ascii="Times New Roman" w:hAnsi="Times New Roman"/>
          <w:color w:val="1C1C1C"/>
        </w:rPr>
      </w:pPr>
      <w:r w:rsidRPr="00DA2CC2">
        <w:rPr>
          <w:rFonts w:ascii="Times New Roman" w:hAnsi="Times New Roman"/>
          <w:color w:val="1C1C1C"/>
        </w:rPr>
        <w:t>B.</w:t>
      </w:r>
      <w:r w:rsidR="0060494E" w:rsidRPr="00DA2CC2">
        <w:t xml:space="preserve"> </w:t>
      </w:r>
      <w:r w:rsidR="00B501C9" w:rsidRPr="00DA2CC2">
        <w:t>Failing to correctly follow</w:t>
      </w:r>
      <w:r w:rsidR="0060494E" w:rsidRPr="00DA2CC2">
        <w:t xml:space="preserve"> 9</w:t>
      </w:r>
      <w:r w:rsidR="0060494E" w:rsidRPr="00DA2CC2">
        <w:rPr>
          <w:vertAlign w:val="superscript"/>
        </w:rPr>
        <w:t>th</w:t>
      </w:r>
      <w:r w:rsidR="0060494E" w:rsidRPr="00DA2CC2">
        <w:t xml:space="preserve"> Circuit precedent </w:t>
      </w:r>
      <w:r w:rsidR="00B501C9" w:rsidRPr="00DA2CC2">
        <w:rPr>
          <w:color w:val="1C1C1C"/>
        </w:rPr>
        <w:t>blinded the Friends court to the fact that it must look to the whole record when determining if an agency has sufficiently analyzed the cumulative effect of past projects</w:t>
      </w:r>
      <w:r w:rsidR="001A5897" w:rsidRPr="00DA2CC2">
        <w:rPr>
          <w:color w:val="1C1C1C"/>
        </w:rPr>
        <w:t>.</w:t>
      </w:r>
    </w:p>
    <w:p w14:paraId="48EE7C90" w14:textId="77777777" w:rsidR="000A4FC0" w:rsidRDefault="000A4FC0" w:rsidP="00D95695">
      <w:pPr>
        <w:widowControl w:val="0"/>
        <w:autoSpaceDE w:val="0"/>
        <w:autoSpaceDN w:val="0"/>
        <w:adjustRightInd w:val="0"/>
        <w:spacing w:line="360" w:lineRule="auto"/>
        <w:ind w:firstLine="720"/>
        <w:rPr>
          <w:rFonts w:ascii="Times New Roman" w:hAnsi="Times New Roman"/>
          <w:color w:val="1C1C1C"/>
        </w:rPr>
      </w:pPr>
    </w:p>
    <w:p w14:paraId="14585E52" w14:textId="00691D6A" w:rsidR="00C7097F" w:rsidRDefault="00EE32A2" w:rsidP="00D95695">
      <w:pPr>
        <w:widowControl w:val="0"/>
        <w:autoSpaceDE w:val="0"/>
        <w:autoSpaceDN w:val="0"/>
        <w:adjustRightInd w:val="0"/>
        <w:spacing w:line="360" w:lineRule="auto"/>
        <w:ind w:firstLine="720"/>
        <w:rPr>
          <w:rFonts w:ascii="Times New Roman" w:hAnsi="Times New Roman"/>
          <w:color w:val="1C1C1C"/>
        </w:rPr>
      </w:pPr>
      <w:r>
        <w:rPr>
          <w:rFonts w:ascii="Times New Roman" w:hAnsi="Times New Roman"/>
          <w:color w:val="1C1C1C"/>
        </w:rPr>
        <w:t xml:space="preserve">The second error the </w:t>
      </w:r>
      <w:r>
        <w:rPr>
          <w:rFonts w:ascii="Times New Roman" w:hAnsi="Times New Roman"/>
          <w:i/>
          <w:color w:val="1C1C1C"/>
        </w:rPr>
        <w:t xml:space="preserve">Friends </w:t>
      </w:r>
      <w:r>
        <w:rPr>
          <w:rFonts w:ascii="Times New Roman" w:hAnsi="Times New Roman"/>
          <w:color w:val="1C1C1C"/>
        </w:rPr>
        <w:t xml:space="preserve">court committed was </w:t>
      </w:r>
      <w:r w:rsidR="0080314A">
        <w:rPr>
          <w:rFonts w:ascii="Times New Roman" w:hAnsi="Times New Roman"/>
          <w:color w:val="1C1C1C"/>
        </w:rPr>
        <w:t>a product of its first.</w:t>
      </w:r>
      <w:r w:rsidR="00F17FB4">
        <w:rPr>
          <w:rFonts w:ascii="Times New Roman" w:hAnsi="Times New Roman"/>
          <w:color w:val="1C1C1C"/>
        </w:rPr>
        <w:t xml:space="preserve"> </w:t>
      </w:r>
      <w:r w:rsidR="0080314A">
        <w:rPr>
          <w:rFonts w:ascii="Times New Roman" w:hAnsi="Times New Roman"/>
          <w:color w:val="1C1C1C"/>
        </w:rPr>
        <w:t xml:space="preserve"> If</w:t>
      </w:r>
      <w:r w:rsidR="00716927">
        <w:rPr>
          <w:rFonts w:ascii="Times New Roman" w:hAnsi="Times New Roman"/>
          <w:color w:val="1C1C1C"/>
        </w:rPr>
        <w:t xml:space="preserve"> the court </w:t>
      </w:r>
      <w:r w:rsidR="0080314A">
        <w:rPr>
          <w:rFonts w:ascii="Times New Roman" w:hAnsi="Times New Roman"/>
          <w:color w:val="1C1C1C"/>
        </w:rPr>
        <w:t xml:space="preserve">had </w:t>
      </w:r>
      <w:r w:rsidR="00716927">
        <w:rPr>
          <w:rFonts w:ascii="Times New Roman" w:hAnsi="Times New Roman"/>
          <w:color w:val="1C1C1C"/>
        </w:rPr>
        <w:t xml:space="preserve">recognized that </w:t>
      </w:r>
      <w:r w:rsidR="00716927" w:rsidRPr="00716927">
        <w:rPr>
          <w:rFonts w:ascii="Times New Roman" w:hAnsi="Times New Roman"/>
          <w:i/>
          <w:color w:val="1C1C1C"/>
        </w:rPr>
        <w:t>CELP</w:t>
      </w:r>
      <w:r w:rsidR="00716927">
        <w:rPr>
          <w:rFonts w:ascii="Times New Roman" w:hAnsi="Times New Roman"/>
          <w:color w:val="1C1C1C"/>
        </w:rPr>
        <w:t xml:space="preserve">, not </w:t>
      </w:r>
      <w:r w:rsidR="00716927" w:rsidRPr="00716927">
        <w:rPr>
          <w:rFonts w:ascii="Times New Roman" w:hAnsi="Times New Roman"/>
          <w:i/>
          <w:color w:val="1C1C1C"/>
        </w:rPr>
        <w:t>Te-Moak</w:t>
      </w:r>
      <w:r w:rsidR="000270BE">
        <w:rPr>
          <w:rFonts w:ascii="Times New Roman" w:hAnsi="Times New Roman"/>
          <w:color w:val="1C1C1C"/>
        </w:rPr>
        <w:t>, provided</w:t>
      </w:r>
      <w:r w:rsidR="00716927">
        <w:rPr>
          <w:rFonts w:ascii="Times New Roman" w:hAnsi="Times New Roman"/>
          <w:color w:val="1C1C1C"/>
        </w:rPr>
        <w:t xml:space="preserve"> the best statement of the controlling cumulative effect of past projects case law, then it would also have recognized that</w:t>
      </w:r>
      <w:r w:rsidR="003E5A00">
        <w:rPr>
          <w:rFonts w:ascii="Times New Roman" w:hAnsi="Times New Roman"/>
          <w:color w:val="1C1C1C"/>
        </w:rPr>
        <w:t xml:space="preserve"> it cannot confine its review to the section on cumulative effects when reviewing the sufficiency of an agency’s past cumulative effects analysis.</w:t>
      </w:r>
      <w:r w:rsidR="000270BE">
        <w:rPr>
          <w:rStyle w:val="FootnoteReference"/>
          <w:rFonts w:ascii="Times New Roman" w:hAnsi="Times New Roman"/>
          <w:color w:val="1C1C1C"/>
        </w:rPr>
        <w:footnoteReference w:id="114"/>
      </w:r>
      <w:r w:rsidR="003E5A00">
        <w:rPr>
          <w:rFonts w:ascii="Times New Roman" w:hAnsi="Times New Roman"/>
          <w:color w:val="1C1C1C"/>
        </w:rPr>
        <w:t xml:space="preserve"> </w:t>
      </w:r>
      <w:r w:rsidR="000270BE">
        <w:rPr>
          <w:rFonts w:ascii="Times New Roman" w:hAnsi="Times New Roman"/>
          <w:color w:val="1C1C1C"/>
        </w:rPr>
        <w:t xml:space="preserve">As in </w:t>
      </w:r>
      <w:r w:rsidR="000270BE" w:rsidRPr="000270BE">
        <w:rPr>
          <w:rFonts w:ascii="Times New Roman" w:hAnsi="Times New Roman"/>
          <w:i/>
          <w:color w:val="1C1C1C"/>
        </w:rPr>
        <w:t>Friends</w:t>
      </w:r>
      <w:r w:rsidR="000270BE">
        <w:rPr>
          <w:rFonts w:ascii="Times New Roman" w:hAnsi="Times New Roman"/>
          <w:color w:val="1C1C1C"/>
        </w:rPr>
        <w:t xml:space="preserve"> </w:t>
      </w:r>
      <w:r w:rsidR="003E5A00">
        <w:rPr>
          <w:rFonts w:ascii="Times New Roman" w:hAnsi="Times New Roman"/>
          <w:color w:val="1C1C1C"/>
        </w:rPr>
        <w:t>the</w:t>
      </w:r>
      <w:r w:rsidR="009B3802">
        <w:rPr>
          <w:rFonts w:ascii="Times New Roman" w:hAnsi="Times New Roman"/>
          <w:color w:val="1C1C1C"/>
        </w:rPr>
        <w:t xml:space="preserve"> </w:t>
      </w:r>
      <w:r w:rsidR="009B3802">
        <w:rPr>
          <w:rFonts w:ascii="Times New Roman" w:hAnsi="Times New Roman"/>
          <w:i/>
          <w:color w:val="1C1C1C"/>
        </w:rPr>
        <w:t>CELP</w:t>
      </w:r>
      <w:r w:rsidR="003E5A00">
        <w:rPr>
          <w:rFonts w:ascii="Times New Roman" w:hAnsi="Times New Roman"/>
          <w:color w:val="1C1C1C"/>
        </w:rPr>
        <w:t xml:space="preserve"> court </w:t>
      </w:r>
      <w:r w:rsidR="000270BE">
        <w:rPr>
          <w:rFonts w:ascii="Times New Roman" w:hAnsi="Times New Roman"/>
          <w:color w:val="1C1C1C"/>
        </w:rPr>
        <w:t xml:space="preserve">naturally </w:t>
      </w:r>
      <w:r w:rsidR="003E5A00">
        <w:rPr>
          <w:rFonts w:ascii="Times New Roman" w:hAnsi="Times New Roman"/>
          <w:color w:val="1C1C1C"/>
        </w:rPr>
        <w:t>began its review of whether or not the agency had conducted a sufficient past cumulativ</w:t>
      </w:r>
      <w:r w:rsidR="009B3802">
        <w:rPr>
          <w:rFonts w:ascii="Times New Roman" w:hAnsi="Times New Roman"/>
          <w:color w:val="1C1C1C"/>
        </w:rPr>
        <w:t>e effects analysis</w:t>
      </w:r>
      <w:r w:rsidR="003E5A00">
        <w:rPr>
          <w:rFonts w:ascii="Times New Roman" w:hAnsi="Times New Roman"/>
          <w:color w:val="1C1C1C"/>
        </w:rPr>
        <w:t xml:space="preserve"> by investigating the section of the EA titled cumulative effects.</w:t>
      </w:r>
      <w:r w:rsidR="000270BE">
        <w:rPr>
          <w:rStyle w:val="FootnoteReference"/>
          <w:rFonts w:ascii="Times New Roman" w:hAnsi="Times New Roman"/>
          <w:color w:val="1C1C1C"/>
        </w:rPr>
        <w:footnoteReference w:id="115"/>
      </w:r>
      <w:r w:rsidR="009B3802">
        <w:rPr>
          <w:rFonts w:ascii="Times New Roman" w:hAnsi="Times New Roman"/>
          <w:color w:val="1C1C1C"/>
        </w:rPr>
        <w:t xml:space="preserve"> There, it found only three paragraphs that “deal with past projects,” and not one rising above </w:t>
      </w:r>
      <w:r w:rsidR="00252614">
        <w:rPr>
          <w:rFonts w:ascii="Times New Roman" w:hAnsi="Times New Roman"/>
          <w:color w:val="1C1C1C"/>
        </w:rPr>
        <w:t>“vague generalities.”</w:t>
      </w:r>
      <w:r w:rsidR="000270BE">
        <w:rPr>
          <w:rStyle w:val="FootnoteReference"/>
          <w:rFonts w:ascii="Times New Roman" w:hAnsi="Times New Roman"/>
          <w:color w:val="1C1C1C"/>
        </w:rPr>
        <w:footnoteReference w:id="116"/>
      </w:r>
      <w:r w:rsidR="00252614">
        <w:rPr>
          <w:rFonts w:ascii="Times New Roman" w:hAnsi="Times New Roman"/>
          <w:color w:val="1C1C1C"/>
        </w:rPr>
        <w:t xml:space="preserve"> S</w:t>
      </w:r>
      <w:r w:rsidR="009B3802">
        <w:rPr>
          <w:rFonts w:ascii="Times New Roman" w:hAnsi="Times New Roman"/>
          <w:color w:val="1C1C1C"/>
        </w:rPr>
        <w:t>uch “superficial analysis</w:t>
      </w:r>
      <w:r w:rsidR="00252614">
        <w:rPr>
          <w:rFonts w:ascii="Times New Roman" w:hAnsi="Times New Roman"/>
          <w:color w:val="1C1C1C"/>
        </w:rPr>
        <w:t>,</w:t>
      </w:r>
      <w:r w:rsidR="009B3802">
        <w:rPr>
          <w:rFonts w:ascii="Times New Roman" w:hAnsi="Times New Roman"/>
          <w:color w:val="1C1C1C"/>
        </w:rPr>
        <w:t>”</w:t>
      </w:r>
      <w:r w:rsidR="00252614">
        <w:rPr>
          <w:rFonts w:ascii="Times New Roman" w:hAnsi="Times New Roman"/>
          <w:color w:val="1C1C1C"/>
        </w:rPr>
        <w:t xml:space="preserve"> the court noted,</w:t>
      </w:r>
      <w:r w:rsidR="009B3802">
        <w:rPr>
          <w:rFonts w:ascii="Times New Roman" w:hAnsi="Times New Roman"/>
          <w:color w:val="1C1C1C"/>
        </w:rPr>
        <w:t xml:space="preserve"> was a “far cry from the requirement …</w:t>
      </w:r>
      <w:r w:rsidR="00252614">
        <w:rPr>
          <w:rFonts w:ascii="Times New Roman" w:hAnsi="Times New Roman"/>
          <w:color w:val="1C1C1C"/>
        </w:rPr>
        <w:t xml:space="preserve"> .”</w:t>
      </w:r>
      <w:r w:rsidR="000270BE" w:rsidRPr="000270BE">
        <w:rPr>
          <w:rStyle w:val="FootnoteReference"/>
          <w:rFonts w:ascii="Times New Roman" w:hAnsi="Times New Roman"/>
          <w:color w:val="1C1C1C"/>
        </w:rPr>
        <w:t xml:space="preserve"> </w:t>
      </w:r>
      <w:r w:rsidR="000270BE">
        <w:rPr>
          <w:rStyle w:val="FootnoteReference"/>
          <w:rFonts w:ascii="Times New Roman" w:hAnsi="Times New Roman"/>
          <w:color w:val="1C1C1C"/>
        </w:rPr>
        <w:footnoteReference w:id="117"/>
      </w:r>
      <w:r w:rsidR="000270BE">
        <w:rPr>
          <w:rFonts w:ascii="Times New Roman" w:hAnsi="Times New Roman"/>
          <w:color w:val="1C1C1C"/>
        </w:rPr>
        <w:t xml:space="preserve"> </w:t>
      </w:r>
      <w:r w:rsidR="00252614">
        <w:rPr>
          <w:rFonts w:ascii="Times New Roman" w:hAnsi="Times New Roman"/>
          <w:color w:val="1C1C1C"/>
        </w:rPr>
        <w:t xml:space="preserve"> However, it</w:t>
      </w:r>
      <w:r w:rsidR="009B3802">
        <w:rPr>
          <w:rFonts w:ascii="Times New Roman" w:hAnsi="Times New Roman"/>
          <w:color w:val="1C1C1C"/>
        </w:rPr>
        <w:t xml:space="preserve"> also noted that the three paragraphs were not the “sum of the analysis.”</w:t>
      </w:r>
      <w:r w:rsidR="000270BE">
        <w:rPr>
          <w:rStyle w:val="FootnoteReference"/>
          <w:rFonts w:ascii="Times New Roman" w:hAnsi="Times New Roman"/>
          <w:color w:val="1C1C1C"/>
        </w:rPr>
        <w:footnoteReference w:id="118"/>
      </w:r>
      <w:r w:rsidR="009B3802">
        <w:rPr>
          <w:rFonts w:ascii="Times New Roman" w:hAnsi="Times New Roman"/>
          <w:color w:val="1C1C1C"/>
        </w:rPr>
        <w:t xml:space="preserve"> </w:t>
      </w:r>
      <w:r w:rsidR="00252614">
        <w:rPr>
          <w:rFonts w:ascii="Times New Roman" w:hAnsi="Times New Roman"/>
          <w:color w:val="1C1C1C"/>
        </w:rPr>
        <w:t>Delving further, the court found that the “record included extensive evidence that [the agency] considered relevant prior actions …” because “various effects in ot</w:t>
      </w:r>
      <w:r w:rsidR="00CA24A9">
        <w:rPr>
          <w:rFonts w:ascii="Times New Roman" w:hAnsi="Times New Roman"/>
          <w:color w:val="1C1C1C"/>
        </w:rPr>
        <w:t>her portions of the EA display</w:t>
      </w:r>
      <w:r w:rsidR="00252614">
        <w:rPr>
          <w:rFonts w:ascii="Times New Roman" w:hAnsi="Times New Roman"/>
          <w:color w:val="1C1C1C"/>
        </w:rPr>
        <w:t xml:space="preserve"> sensitivity to, and consideration of, the multitude of changes previously wrought by mankind … .”</w:t>
      </w:r>
      <w:r w:rsidR="00F54350">
        <w:rPr>
          <w:rStyle w:val="FootnoteReference"/>
          <w:rFonts w:ascii="Times New Roman" w:hAnsi="Times New Roman"/>
          <w:color w:val="1C1C1C"/>
        </w:rPr>
        <w:footnoteReference w:id="119"/>
      </w:r>
      <w:r w:rsidR="00252614">
        <w:rPr>
          <w:rFonts w:ascii="Times New Roman" w:hAnsi="Times New Roman"/>
          <w:color w:val="1C1C1C"/>
        </w:rPr>
        <w:t xml:space="preserve"> </w:t>
      </w:r>
      <w:r w:rsidR="009B3802">
        <w:rPr>
          <w:rFonts w:ascii="Times New Roman" w:hAnsi="Times New Roman"/>
          <w:color w:val="1C1C1C"/>
        </w:rPr>
        <w:t xml:space="preserve"> </w:t>
      </w:r>
      <w:r w:rsidR="00252614">
        <w:rPr>
          <w:rFonts w:ascii="Times New Roman" w:hAnsi="Times New Roman"/>
          <w:color w:val="1C1C1C"/>
        </w:rPr>
        <w:t>In holding that the EA’s discussion of the cumulative effects of past projects satisfies NEPA’s requir</w:t>
      </w:r>
      <w:r w:rsidR="00F54350">
        <w:rPr>
          <w:rFonts w:ascii="Times New Roman" w:hAnsi="Times New Roman"/>
          <w:color w:val="1C1C1C"/>
        </w:rPr>
        <w:t>ements, the court stated that although the</w:t>
      </w:r>
      <w:r w:rsidR="00252614">
        <w:rPr>
          <w:rFonts w:ascii="Times New Roman" w:hAnsi="Times New Roman"/>
          <w:color w:val="1C1C1C"/>
        </w:rPr>
        <w:t xml:space="preserve"> </w:t>
      </w:r>
      <w:r w:rsidR="00F54350">
        <w:rPr>
          <w:rFonts w:ascii="Times New Roman" w:hAnsi="Times New Roman"/>
          <w:color w:val="1C1C1C"/>
        </w:rPr>
        <w:t>“</w:t>
      </w:r>
      <w:r w:rsidR="00252614">
        <w:rPr>
          <w:rFonts w:ascii="Times New Roman" w:hAnsi="Times New Roman"/>
          <w:color w:val="1C1C1C"/>
        </w:rPr>
        <w:t>evidence is not presented in the cumula</w:t>
      </w:r>
      <w:r w:rsidR="00F54350">
        <w:rPr>
          <w:rFonts w:ascii="Times New Roman" w:hAnsi="Times New Roman"/>
          <w:color w:val="1C1C1C"/>
        </w:rPr>
        <w:t xml:space="preserve">tive effects section of the EA … </w:t>
      </w:r>
      <w:r w:rsidR="00252614">
        <w:rPr>
          <w:rFonts w:ascii="Times New Roman" w:hAnsi="Times New Roman"/>
          <w:color w:val="1C1C1C"/>
        </w:rPr>
        <w:t>it would impermissibly elevate form over substance to hold that [an agency] must replicate its entire analysis under the heading of cumulative effects.”</w:t>
      </w:r>
      <w:r w:rsidR="00F54350">
        <w:rPr>
          <w:rStyle w:val="FootnoteReference"/>
          <w:rFonts w:ascii="Times New Roman" w:hAnsi="Times New Roman"/>
          <w:color w:val="1C1C1C"/>
        </w:rPr>
        <w:footnoteReference w:id="120"/>
      </w:r>
      <w:r w:rsidR="00252614">
        <w:rPr>
          <w:rFonts w:ascii="Times New Roman" w:hAnsi="Times New Roman"/>
          <w:color w:val="1C1C1C"/>
        </w:rPr>
        <w:t xml:space="preserve"> </w:t>
      </w:r>
    </w:p>
    <w:p w14:paraId="5D583959" w14:textId="2087F824" w:rsidR="00AB28C7" w:rsidRDefault="00AB28C7" w:rsidP="00D95695">
      <w:pPr>
        <w:widowControl w:val="0"/>
        <w:autoSpaceDE w:val="0"/>
        <w:autoSpaceDN w:val="0"/>
        <w:adjustRightInd w:val="0"/>
        <w:spacing w:line="360" w:lineRule="auto"/>
        <w:rPr>
          <w:rFonts w:ascii="Times New Roman" w:hAnsi="Times New Roman"/>
          <w:color w:val="1C1C1C"/>
        </w:rPr>
      </w:pPr>
      <w:r>
        <w:rPr>
          <w:rFonts w:ascii="Times New Roman" w:hAnsi="Times New Roman"/>
          <w:color w:val="1C1C1C"/>
        </w:rPr>
        <w:tab/>
        <w:t xml:space="preserve">The </w:t>
      </w:r>
      <w:r>
        <w:rPr>
          <w:rFonts w:ascii="Times New Roman" w:hAnsi="Times New Roman"/>
          <w:i/>
          <w:color w:val="1C1C1C"/>
        </w:rPr>
        <w:t>CELP</w:t>
      </w:r>
      <w:r>
        <w:rPr>
          <w:rFonts w:ascii="Times New Roman" w:hAnsi="Times New Roman"/>
          <w:color w:val="1C1C1C"/>
        </w:rPr>
        <w:t xml:space="preserve"> court’s explanation for the rule is straightforward. The rule will avoid “impermissibly elevat[ing] form over substance” because only after “other portions” of the record have been analyzed, can a court conclude whether or not an agency has taken the “requisite hard look before approving the project.”</w:t>
      </w:r>
      <w:r>
        <w:rPr>
          <w:rStyle w:val="FootnoteReference"/>
          <w:rFonts w:ascii="Times New Roman" w:hAnsi="Times New Roman"/>
          <w:color w:val="1C1C1C"/>
        </w:rPr>
        <w:footnoteReference w:id="121"/>
      </w:r>
      <w:r w:rsidR="00DA088D">
        <w:rPr>
          <w:rFonts w:ascii="Times New Roman" w:hAnsi="Times New Roman"/>
          <w:color w:val="1C1C1C"/>
        </w:rPr>
        <w:t xml:space="preserve"> This is based </w:t>
      </w:r>
      <w:r>
        <w:rPr>
          <w:rFonts w:ascii="Times New Roman" w:hAnsi="Times New Roman"/>
          <w:color w:val="1C1C1C"/>
        </w:rPr>
        <w:t xml:space="preserve">on a solid rationale. For example, in </w:t>
      </w:r>
      <w:r>
        <w:rPr>
          <w:rFonts w:ascii="Times New Roman" w:hAnsi="Times New Roman"/>
          <w:i/>
          <w:color w:val="1C1C1C"/>
        </w:rPr>
        <w:t>Alaska Department of Environmental Conservation v. EPA</w:t>
      </w:r>
      <w:r>
        <w:rPr>
          <w:rFonts w:ascii="Times New Roman" w:hAnsi="Times New Roman"/>
          <w:color w:val="1C1C1C"/>
        </w:rPr>
        <w:t xml:space="preserve"> the Supreme Court stated, “</w:t>
      </w:r>
      <w:r>
        <w:rPr>
          <w:rFonts w:ascii="Times New Roman" w:hAnsi="Times New Roman"/>
        </w:rPr>
        <w:t>Even when an agency explains its decision with ‘less than ideal clarity,’ a reviewing court will not upset the decision on that account ‘if the agency's path may reasonably be discerned.’”</w:t>
      </w:r>
      <w:r>
        <w:rPr>
          <w:rStyle w:val="FootnoteReference"/>
          <w:rFonts w:ascii="Times New Roman" w:hAnsi="Times New Roman"/>
        </w:rPr>
        <w:footnoteReference w:id="122"/>
      </w:r>
      <w:r>
        <w:rPr>
          <w:rFonts w:ascii="Times New Roman" w:hAnsi="Times New Roman"/>
        </w:rPr>
        <w:t xml:space="preserve"> The 9</w:t>
      </w:r>
      <w:r>
        <w:rPr>
          <w:rFonts w:ascii="Times New Roman" w:hAnsi="Times New Roman"/>
          <w:vertAlign w:val="superscript"/>
        </w:rPr>
        <w:t>th</w:t>
      </w:r>
      <w:r>
        <w:rPr>
          <w:rFonts w:ascii="Times New Roman" w:hAnsi="Times New Roman"/>
        </w:rPr>
        <w:t xml:space="preserve"> Circuit did not specifically cite the foregoing case in </w:t>
      </w:r>
      <w:r>
        <w:rPr>
          <w:rFonts w:ascii="Times New Roman" w:hAnsi="Times New Roman"/>
          <w:i/>
        </w:rPr>
        <w:t>CELP</w:t>
      </w:r>
      <w:r>
        <w:rPr>
          <w:rFonts w:ascii="Times New Roman" w:hAnsi="Times New Roman"/>
        </w:rPr>
        <w:t>; however, the cases it did cite are strikingly similar.</w:t>
      </w:r>
      <w:r w:rsidR="008F2D77">
        <w:rPr>
          <w:rStyle w:val="FootnoteReference"/>
          <w:rFonts w:ascii="Times New Roman" w:hAnsi="Times New Roman"/>
        </w:rPr>
        <w:footnoteReference w:id="123"/>
      </w:r>
      <w:r>
        <w:rPr>
          <w:rFonts w:ascii="Times New Roman" w:hAnsi="Times New Roman"/>
        </w:rPr>
        <w:t xml:space="preserve"> In </w:t>
      </w:r>
      <w:r>
        <w:rPr>
          <w:rFonts w:ascii="Times New Roman" w:hAnsi="Times New Roman"/>
          <w:i/>
        </w:rPr>
        <w:t>Ecology Ctr</w:t>
      </w:r>
      <w:r>
        <w:rPr>
          <w:rFonts w:ascii="Times New Roman" w:hAnsi="Times New Roman"/>
        </w:rPr>
        <w:t xml:space="preserve">., </w:t>
      </w:r>
      <w:r>
        <w:rPr>
          <w:rFonts w:ascii="Times New Roman" w:hAnsi="Times New Roman"/>
          <w:i/>
        </w:rPr>
        <w:t>v.</w:t>
      </w:r>
      <w:r>
        <w:rPr>
          <w:rFonts w:ascii="Times New Roman" w:hAnsi="Times New Roman"/>
        </w:rPr>
        <w:t xml:space="preserve"> </w:t>
      </w:r>
      <w:r>
        <w:rPr>
          <w:rFonts w:ascii="Times New Roman" w:hAnsi="Times New Roman"/>
          <w:i/>
        </w:rPr>
        <w:t>Casteneda</w:t>
      </w:r>
      <w:r>
        <w:rPr>
          <w:rFonts w:ascii="Times New Roman" w:hAnsi="Times New Roman"/>
        </w:rPr>
        <w:t>, the 9</w:t>
      </w:r>
      <w:r>
        <w:rPr>
          <w:rFonts w:ascii="Times New Roman" w:hAnsi="Times New Roman"/>
          <w:vertAlign w:val="superscript"/>
        </w:rPr>
        <w:t>th</w:t>
      </w:r>
      <w:r>
        <w:rPr>
          <w:rFonts w:ascii="Times New Roman" w:hAnsi="Times New Roman"/>
        </w:rPr>
        <w:t xml:space="preserve"> Circuit held </w:t>
      </w:r>
      <w:r>
        <w:rPr>
          <w:rFonts w:ascii="Times New Roman" w:hAnsi="Times New Roman"/>
          <w:color w:val="1C1C1C"/>
        </w:rPr>
        <w:t>that a Forest Service EIS adequately discussed past cumulative effects because, even though “the cumulative effects section referred generally to past and proposed activities, other parts of the EIS gave extensive history about past actions in the area.”</w:t>
      </w:r>
      <w:r>
        <w:rPr>
          <w:rStyle w:val="FootnoteReference"/>
          <w:rFonts w:ascii="Times New Roman" w:hAnsi="Times New Roman"/>
        </w:rPr>
        <w:t xml:space="preserve"> </w:t>
      </w:r>
      <w:r>
        <w:rPr>
          <w:rStyle w:val="FootnoteReference"/>
          <w:rFonts w:ascii="Times New Roman" w:hAnsi="Times New Roman"/>
        </w:rPr>
        <w:footnoteReference w:id="124"/>
      </w:r>
      <w:r>
        <w:rPr>
          <w:rFonts w:ascii="Times New Roman" w:hAnsi="Times New Roman"/>
          <w:color w:val="1C1C1C"/>
        </w:rPr>
        <w:t xml:space="preserve"> And in </w:t>
      </w:r>
      <w:r>
        <w:rPr>
          <w:rFonts w:ascii="Times New Roman" w:hAnsi="Times New Roman"/>
          <w:i/>
          <w:color w:val="1C1C1C"/>
        </w:rPr>
        <w:t>Environmental Protection Information Center v. U.S. Forest Service</w:t>
      </w:r>
      <w:r>
        <w:rPr>
          <w:rFonts w:ascii="Times New Roman" w:hAnsi="Times New Roman"/>
          <w:color w:val="1C1C1C"/>
        </w:rPr>
        <w:t>, the 9</w:t>
      </w:r>
      <w:r>
        <w:rPr>
          <w:rFonts w:ascii="Times New Roman" w:hAnsi="Times New Roman"/>
          <w:color w:val="1C1C1C"/>
          <w:vertAlign w:val="superscript"/>
        </w:rPr>
        <w:t>th</w:t>
      </w:r>
      <w:r>
        <w:rPr>
          <w:rFonts w:ascii="Times New Roman" w:hAnsi="Times New Roman"/>
          <w:color w:val="1C1C1C"/>
        </w:rPr>
        <w:t xml:space="preserve"> Circuit found a Forest Service EA sufficient because it was based on a model that “pervaded” the record.</w:t>
      </w:r>
      <w:r>
        <w:rPr>
          <w:rStyle w:val="FootnoteReference"/>
          <w:rFonts w:ascii="Times New Roman" w:hAnsi="Times New Roman"/>
          <w:color w:val="1C1C1C"/>
        </w:rPr>
        <w:footnoteReference w:id="125"/>
      </w:r>
      <w:r>
        <w:rPr>
          <w:rFonts w:ascii="Times New Roman" w:hAnsi="Times New Roman"/>
          <w:color w:val="1C1C1C"/>
        </w:rPr>
        <w:t xml:space="preserve"> </w:t>
      </w:r>
    </w:p>
    <w:p w14:paraId="71F3ED83" w14:textId="1FB34F3C" w:rsidR="00CA24A9" w:rsidRDefault="00AB28C7" w:rsidP="00D95695">
      <w:pPr>
        <w:widowControl w:val="0"/>
        <w:autoSpaceDE w:val="0"/>
        <w:autoSpaceDN w:val="0"/>
        <w:adjustRightInd w:val="0"/>
        <w:spacing w:line="360" w:lineRule="auto"/>
        <w:ind w:firstLine="720"/>
        <w:rPr>
          <w:rFonts w:ascii="Times New Roman" w:hAnsi="Times New Roman"/>
          <w:color w:val="1C1C1C"/>
        </w:rPr>
      </w:pPr>
      <w:r>
        <w:rPr>
          <w:rFonts w:ascii="Times New Roman" w:hAnsi="Times New Roman"/>
          <w:color w:val="1C1C1C"/>
        </w:rPr>
        <w:t>In contrast,</w:t>
      </w:r>
      <w:r w:rsidR="00A64B0A">
        <w:rPr>
          <w:rFonts w:ascii="Times New Roman" w:hAnsi="Times New Roman"/>
          <w:color w:val="1C1C1C"/>
        </w:rPr>
        <w:t xml:space="preserve"> </w:t>
      </w:r>
      <w:r w:rsidR="001A1C2E">
        <w:rPr>
          <w:rFonts w:ascii="Times New Roman" w:hAnsi="Times New Roman"/>
          <w:color w:val="1C1C1C"/>
        </w:rPr>
        <w:t xml:space="preserve">the </w:t>
      </w:r>
      <w:r w:rsidR="001A1C2E">
        <w:rPr>
          <w:rFonts w:ascii="Times New Roman" w:hAnsi="Times New Roman"/>
          <w:i/>
          <w:color w:val="1C1C1C"/>
        </w:rPr>
        <w:t>Friends</w:t>
      </w:r>
      <w:r w:rsidR="00A64B0A">
        <w:rPr>
          <w:rFonts w:ascii="Times New Roman" w:hAnsi="Times New Roman"/>
          <w:i/>
          <w:color w:val="1C1C1C"/>
        </w:rPr>
        <w:t xml:space="preserve"> </w:t>
      </w:r>
      <w:r w:rsidR="00A64B0A" w:rsidRPr="00A64B0A">
        <w:rPr>
          <w:rFonts w:ascii="Times New Roman" w:hAnsi="Times New Roman"/>
          <w:color w:val="1C1C1C"/>
        </w:rPr>
        <w:t xml:space="preserve">opinion </w:t>
      </w:r>
      <w:r>
        <w:rPr>
          <w:rFonts w:ascii="Times New Roman" w:hAnsi="Times New Roman"/>
          <w:color w:val="1C1C1C"/>
        </w:rPr>
        <w:t xml:space="preserve">readily </w:t>
      </w:r>
      <w:r w:rsidR="00A64B0A" w:rsidRPr="00A64B0A">
        <w:rPr>
          <w:rFonts w:ascii="Times New Roman" w:hAnsi="Times New Roman"/>
          <w:color w:val="1C1C1C"/>
        </w:rPr>
        <w:t>reveals</w:t>
      </w:r>
      <w:r w:rsidR="0080314A">
        <w:rPr>
          <w:rFonts w:ascii="Times New Roman" w:hAnsi="Times New Roman"/>
          <w:color w:val="1C1C1C"/>
        </w:rPr>
        <w:t xml:space="preserve"> that the court focused only</w:t>
      </w:r>
      <w:r w:rsidR="00A64B0A">
        <w:rPr>
          <w:rFonts w:ascii="Times New Roman" w:hAnsi="Times New Roman"/>
          <w:color w:val="1C1C1C"/>
        </w:rPr>
        <w:t xml:space="preserve"> on the section of the EA pertaining to the cu</w:t>
      </w:r>
      <w:r w:rsidR="00886A68">
        <w:rPr>
          <w:rFonts w:ascii="Times New Roman" w:hAnsi="Times New Roman"/>
          <w:color w:val="1C1C1C"/>
        </w:rPr>
        <w:t>mulative effects</w:t>
      </w:r>
      <w:r w:rsidR="00A64B0A">
        <w:rPr>
          <w:rFonts w:ascii="Times New Roman" w:hAnsi="Times New Roman"/>
          <w:color w:val="1C1C1C"/>
        </w:rPr>
        <w:t xml:space="preserve"> on lynx.</w:t>
      </w:r>
      <w:r w:rsidR="008F2D77">
        <w:rPr>
          <w:rStyle w:val="FootnoteReference"/>
          <w:rFonts w:ascii="Times New Roman" w:hAnsi="Times New Roman"/>
          <w:color w:val="1C1C1C"/>
        </w:rPr>
        <w:footnoteReference w:id="126"/>
      </w:r>
      <w:r w:rsidR="00DA088D">
        <w:rPr>
          <w:rFonts w:ascii="Times New Roman" w:hAnsi="Times New Roman"/>
          <w:color w:val="1C1C1C"/>
        </w:rPr>
        <w:t xml:space="preserve"> Compounding its error, the court attempted to apply </w:t>
      </w:r>
      <w:r w:rsidR="00DA088D">
        <w:rPr>
          <w:rFonts w:ascii="Times New Roman" w:hAnsi="Times New Roman"/>
          <w:i/>
          <w:color w:val="1C1C1C"/>
        </w:rPr>
        <w:t>Te-Moak’s</w:t>
      </w:r>
      <w:r w:rsidR="00DA088D">
        <w:rPr>
          <w:rFonts w:ascii="Times New Roman" w:hAnsi="Times New Roman"/>
          <w:color w:val="1C1C1C"/>
        </w:rPr>
        <w:t xml:space="preserve"> </w:t>
      </w:r>
      <w:r w:rsidR="000A4FC0">
        <w:rPr>
          <w:rFonts w:ascii="Times New Roman" w:hAnsi="Times New Roman"/>
          <w:color w:val="1C1C1C"/>
        </w:rPr>
        <w:t>“detailed catalogue” standard to</w:t>
      </w:r>
      <w:r w:rsidR="00DA088D">
        <w:rPr>
          <w:rFonts w:ascii="Times New Roman" w:hAnsi="Times New Roman"/>
          <w:color w:val="1C1C1C"/>
        </w:rPr>
        <w:t xml:space="preserve"> the narrow section.</w:t>
      </w:r>
      <w:r w:rsidR="008F2D77">
        <w:rPr>
          <w:rStyle w:val="FootnoteReference"/>
          <w:rFonts w:ascii="Times New Roman" w:hAnsi="Times New Roman"/>
          <w:color w:val="1C1C1C"/>
        </w:rPr>
        <w:footnoteReference w:id="127"/>
      </w:r>
      <w:r w:rsidR="00A64B0A">
        <w:rPr>
          <w:rFonts w:ascii="Times New Roman" w:hAnsi="Times New Roman"/>
          <w:color w:val="1C1C1C"/>
        </w:rPr>
        <w:t xml:space="preserve"> </w:t>
      </w:r>
      <w:r w:rsidR="00DA088D">
        <w:rPr>
          <w:rFonts w:ascii="Times New Roman" w:hAnsi="Times New Roman"/>
          <w:color w:val="1C1C1C"/>
        </w:rPr>
        <w:t>For example,</w:t>
      </w:r>
      <w:r w:rsidR="00420884">
        <w:rPr>
          <w:rFonts w:ascii="Times New Roman" w:hAnsi="Times New Roman"/>
          <w:color w:val="1C1C1C"/>
        </w:rPr>
        <w:t xml:space="preserve"> the court plainly states “the cumulative effects analysis for lynx</w:t>
      </w:r>
      <w:r w:rsidR="000A4FC0">
        <w:rPr>
          <w:rFonts w:ascii="Times New Roman" w:hAnsi="Times New Roman"/>
          <w:color w:val="1C1C1C"/>
        </w:rPr>
        <w:t>” section</w:t>
      </w:r>
      <w:r w:rsidR="00420884">
        <w:rPr>
          <w:rFonts w:ascii="Times New Roman" w:hAnsi="Times New Roman"/>
          <w:color w:val="1C1C1C"/>
        </w:rPr>
        <w:t xml:space="preserve"> -- a three paragraph </w:t>
      </w:r>
      <w:r w:rsidR="00420884" w:rsidRPr="00420884">
        <w:rPr>
          <w:rFonts w:ascii="Times New Roman" w:hAnsi="Times New Roman"/>
          <w:i/>
          <w:color w:val="1C1C1C"/>
        </w:rPr>
        <w:t>characterization</w:t>
      </w:r>
      <w:r w:rsidR="00420884">
        <w:rPr>
          <w:rFonts w:ascii="Times New Roman" w:hAnsi="Times New Roman"/>
          <w:color w:val="1C1C1C"/>
        </w:rPr>
        <w:t xml:space="preserve"> of the Forest Service’s analysis on page sixty-six of the EA -- did not discuss or mention “any past projects or actions</w:t>
      </w:r>
      <w:r w:rsidR="00E6139B">
        <w:rPr>
          <w:rFonts w:ascii="Times New Roman" w:hAnsi="Times New Roman"/>
          <w:color w:val="1C1C1C"/>
        </w:rPr>
        <w:t>.”</w:t>
      </w:r>
      <w:r w:rsidR="008F2D77">
        <w:rPr>
          <w:rStyle w:val="FootnoteReference"/>
          <w:rFonts w:ascii="Times New Roman" w:hAnsi="Times New Roman"/>
          <w:color w:val="1C1C1C"/>
        </w:rPr>
        <w:footnoteReference w:id="128"/>
      </w:r>
      <w:r w:rsidR="00E6139B">
        <w:rPr>
          <w:rFonts w:ascii="Times New Roman" w:hAnsi="Times New Roman"/>
          <w:color w:val="1C1C1C"/>
        </w:rPr>
        <w:t xml:space="preserve"> </w:t>
      </w:r>
      <w:r w:rsidR="00B46B91">
        <w:rPr>
          <w:rFonts w:ascii="Times New Roman" w:hAnsi="Times New Roman"/>
          <w:color w:val="1C1C1C"/>
        </w:rPr>
        <w:t xml:space="preserve">As </w:t>
      </w:r>
      <w:r w:rsidR="00E11D4A">
        <w:rPr>
          <w:rFonts w:ascii="Times New Roman" w:hAnsi="Times New Roman"/>
          <w:color w:val="1C1C1C"/>
        </w:rPr>
        <w:t xml:space="preserve">presumptive </w:t>
      </w:r>
      <w:r w:rsidR="00B46B91">
        <w:rPr>
          <w:rFonts w:ascii="Times New Roman" w:hAnsi="Times New Roman"/>
          <w:color w:val="1C1C1C"/>
        </w:rPr>
        <w:t>evidence of this fact, the court notes that “in the EA, the Forest Service discusses how it recently acquired 640 acres of land owned by Plum Creek Timber Company (PCTC) [and] [i]t discusses the impact of snowmobile activity in the area.”</w:t>
      </w:r>
      <w:r w:rsidR="00B46B91">
        <w:rPr>
          <w:rStyle w:val="FootnoteReference"/>
          <w:rFonts w:ascii="Times New Roman" w:hAnsi="Times New Roman"/>
          <w:color w:val="1C1C1C"/>
        </w:rPr>
        <w:footnoteReference w:id="129"/>
      </w:r>
      <w:r w:rsidR="00B46B91">
        <w:rPr>
          <w:rFonts w:ascii="Times New Roman" w:hAnsi="Times New Roman"/>
          <w:color w:val="1C1C1C"/>
        </w:rPr>
        <w:t xml:space="preserve"> </w:t>
      </w:r>
      <w:r w:rsidR="00A56DCE">
        <w:rPr>
          <w:rFonts w:ascii="Times New Roman" w:hAnsi="Times New Roman"/>
          <w:color w:val="1C1C1C"/>
        </w:rPr>
        <w:t>And while the courts statement claims that it found this information “in the EA,” suggesting that the court looked beyond the narrow confines of the three paragraphs characterizing the cumulative effects on lynx, in fact, the information comes from page sixty-six of the EA.</w:t>
      </w:r>
      <w:r w:rsidR="00D87274">
        <w:rPr>
          <w:rStyle w:val="FootnoteReference"/>
          <w:rFonts w:ascii="Times New Roman" w:hAnsi="Times New Roman"/>
          <w:color w:val="1C1C1C"/>
        </w:rPr>
        <w:footnoteReference w:id="130"/>
      </w:r>
      <w:r w:rsidR="00A56DCE">
        <w:rPr>
          <w:rFonts w:ascii="Times New Roman" w:hAnsi="Times New Roman"/>
          <w:color w:val="1C1C1C"/>
        </w:rPr>
        <w:t xml:space="preserve"> Finally, reinforcing the fact that it is errantly applying the detailed catalogue standard from </w:t>
      </w:r>
      <w:r w:rsidR="00A56DCE">
        <w:rPr>
          <w:rFonts w:ascii="Times New Roman" w:hAnsi="Times New Roman"/>
          <w:i/>
          <w:color w:val="1C1C1C"/>
        </w:rPr>
        <w:t>Te</w:t>
      </w:r>
      <w:r w:rsidR="00A56DCE" w:rsidRPr="00A56DCE">
        <w:rPr>
          <w:rFonts w:ascii="Times New Roman" w:hAnsi="Times New Roman"/>
          <w:i/>
          <w:color w:val="1C1C1C"/>
        </w:rPr>
        <w:t>-Moak</w:t>
      </w:r>
      <w:r w:rsidR="00A56DCE">
        <w:rPr>
          <w:rFonts w:ascii="Times New Roman" w:hAnsi="Times New Roman"/>
          <w:color w:val="1C1C1C"/>
        </w:rPr>
        <w:t>, the court concludes by stating that it can find</w:t>
      </w:r>
      <w:r w:rsidR="00A56DCE">
        <w:rPr>
          <w:rFonts w:ascii="Times New Roman" w:hAnsi="Times New Roman"/>
          <w:i/>
          <w:color w:val="1C1C1C"/>
        </w:rPr>
        <w:t xml:space="preserve"> </w:t>
      </w:r>
      <w:r w:rsidR="00B46B91">
        <w:rPr>
          <w:rFonts w:ascii="Times New Roman" w:hAnsi="Times New Roman"/>
          <w:color w:val="1C1C1C"/>
        </w:rPr>
        <w:t>“no discussion of past projects or activities,”</w:t>
      </w:r>
      <w:r w:rsidR="00E11D4A">
        <w:rPr>
          <w:rFonts w:ascii="Times New Roman" w:hAnsi="Times New Roman"/>
          <w:color w:val="1C1C1C"/>
        </w:rPr>
        <w:t xml:space="preserve"> in the cumulative effects on lynx section of the EA.</w:t>
      </w:r>
      <w:r w:rsidR="00D87274">
        <w:rPr>
          <w:rStyle w:val="FootnoteReference"/>
          <w:rFonts w:ascii="Times New Roman" w:hAnsi="Times New Roman"/>
          <w:color w:val="1C1C1C"/>
        </w:rPr>
        <w:footnoteReference w:id="131"/>
      </w:r>
      <w:r w:rsidR="00E11D4A">
        <w:rPr>
          <w:rFonts w:ascii="Times New Roman" w:hAnsi="Times New Roman"/>
          <w:color w:val="1C1C1C"/>
        </w:rPr>
        <w:t xml:space="preserve">  </w:t>
      </w:r>
    </w:p>
    <w:p w14:paraId="79C309CA" w14:textId="77777777" w:rsidR="00DA2CC2" w:rsidRDefault="00E11D4A" w:rsidP="00DA2CC2">
      <w:pPr>
        <w:widowControl w:val="0"/>
        <w:autoSpaceDE w:val="0"/>
        <w:autoSpaceDN w:val="0"/>
        <w:adjustRightInd w:val="0"/>
        <w:spacing w:line="360" w:lineRule="auto"/>
        <w:ind w:firstLine="720"/>
        <w:rPr>
          <w:rFonts w:ascii="Times New Roman" w:hAnsi="Times New Roman"/>
          <w:color w:val="1C1C1C"/>
        </w:rPr>
      </w:pPr>
      <w:r>
        <w:rPr>
          <w:rFonts w:ascii="Times New Roman" w:hAnsi="Times New Roman"/>
          <w:color w:val="1C1C1C"/>
        </w:rPr>
        <w:t>Only after concluding its futile search for a detailed</w:t>
      </w:r>
      <w:r w:rsidR="000A4FC0">
        <w:rPr>
          <w:rFonts w:ascii="Times New Roman" w:hAnsi="Times New Roman"/>
          <w:color w:val="1C1C1C"/>
        </w:rPr>
        <w:t xml:space="preserve"> catalogue of past projects in</w:t>
      </w:r>
      <w:r>
        <w:rPr>
          <w:rFonts w:ascii="Times New Roman" w:hAnsi="Times New Roman"/>
          <w:color w:val="1C1C1C"/>
        </w:rPr>
        <w:t xml:space="preserve"> the th</w:t>
      </w:r>
      <w:r w:rsidR="00D87274">
        <w:rPr>
          <w:rFonts w:ascii="Times New Roman" w:hAnsi="Times New Roman"/>
          <w:color w:val="1C1C1C"/>
        </w:rPr>
        <w:t>ree-</w:t>
      </w:r>
      <w:r w:rsidR="000A4FC0">
        <w:rPr>
          <w:rFonts w:ascii="Times New Roman" w:hAnsi="Times New Roman"/>
          <w:color w:val="1C1C1C"/>
        </w:rPr>
        <w:t>paragraph section of the EA,</w:t>
      </w:r>
      <w:r w:rsidR="00CA24A9">
        <w:rPr>
          <w:rFonts w:ascii="Times New Roman" w:hAnsi="Times New Roman"/>
          <w:color w:val="1C1C1C"/>
        </w:rPr>
        <w:t xml:space="preserve"> does the court turn a cursory eye to reviewing the Forest Service’s aggregate analysis.</w:t>
      </w:r>
      <w:r w:rsidR="00D87274">
        <w:rPr>
          <w:rStyle w:val="FootnoteReference"/>
          <w:rFonts w:ascii="Times New Roman" w:hAnsi="Times New Roman"/>
          <w:color w:val="1C1C1C"/>
        </w:rPr>
        <w:footnoteReference w:id="132"/>
      </w:r>
      <w:r w:rsidR="00F61709">
        <w:rPr>
          <w:rFonts w:ascii="Times New Roman" w:hAnsi="Times New Roman"/>
          <w:color w:val="1C1C1C"/>
        </w:rPr>
        <w:t xml:space="preserve"> However, </w:t>
      </w:r>
      <w:r w:rsidR="00CA24A9">
        <w:rPr>
          <w:rFonts w:ascii="Times New Roman" w:hAnsi="Times New Roman"/>
          <w:color w:val="1C1C1C"/>
        </w:rPr>
        <w:t>this attempt too</w:t>
      </w:r>
      <w:r w:rsidR="00F61709">
        <w:rPr>
          <w:rFonts w:ascii="Times New Roman" w:hAnsi="Times New Roman"/>
          <w:color w:val="1C1C1C"/>
        </w:rPr>
        <w:t>,</w:t>
      </w:r>
      <w:r w:rsidR="000A4FC0">
        <w:rPr>
          <w:rFonts w:ascii="Times New Roman" w:hAnsi="Times New Roman"/>
          <w:color w:val="1C1C1C"/>
        </w:rPr>
        <w:t xml:space="preserve"> was doomed to failure fro</w:t>
      </w:r>
      <w:r w:rsidR="00CA24A9">
        <w:rPr>
          <w:rFonts w:ascii="Times New Roman" w:hAnsi="Times New Roman"/>
          <w:color w:val="1C1C1C"/>
        </w:rPr>
        <w:t xml:space="preserve">m the beginning for two reasons. First, as noted supra, the court omitted the statement of law in both </w:t>
      </w:r>
      <w:r w:rsidR="00CA24A9" w:rsidRPr="00CA24A9">
        <w:rPr>
          <w:rFonts w:ascii="Times New Roman" w:hAnsi="Times New Roman"/>
          <w:i/>
          <w:color w:val="1C1C1C"/>
        </w:rPr>
        <w:t>CELP</w:t>
      </w:r>
      <w:r w:rsidR="00CA24A9">
        <w:rPr>
          <w:rFonts w:ascii="Times New Roman" w:hAnsi="Times New Roman"/>
          <w:color w:val="1C1C1C"/>
        </w:rPr>
        <w:t xml:space="preserve"> and </w:t>
      </w:r>
      <w:r w:rsidR="00CA24A9" w:rsidRPr="00CA24A9">
        <w:rPr>
          <w:rFonts w:ascii="Times New Roman" w:hAnsi="Times New Roman"/>
          <w:i/>
          <w:color w:val="1C1C1C"/>
        </w:rPr>
        <w:t>Te-Moak</w:t>
      </w:r>
      <w:r w:rsidR="00CA24A9">
        <w:rPr>
          <w:rFonts w:ascii="Times New Roman" w:hAnsi="Times New Roman"/>
          <w:color w:val="1C1C1C"/>
        </w:rPr>
        <w:t xml:space="preserve"> that generalized </w:t>
      </w:r>
      <w:r w:rsidR="00F61709">
        <w:rPr>
          <w:rFonts w:ascii="Times New Roman" w:hAnsi="Times New Roman"/>
          <w:color w:val="1C1C1C"/>
        </w:rPr>
        <w:t>statements – such as those characterizing the cumulative effects of past actions in the aggregate -- do not constitute the “hard look” required by the agency “absent a justification why more definitive information” could not be found.</w:t>
      </w:r>
      <w:r w:rsidR="00D87274">
        <w:rPr>
          <w:rStyle w:val="FootnoteReference"/>
          <w:rFonts w:ascii="Times New Roman" w:hAnsi="Times New Roman"/>
          <w:color w:val="1C1C1C"/>
        </w:rPr>
        <w:footnoteReference w:id="133"/>
      </w:r>
      <w:r w:rsidR="00F61709">
        <w:rPr>
          <w:rFonts w:ascii="Times New Roman" w:hAnsi="Times New Roman"/>
          <w:color w:val="1C1C1C"/>
        </w:rPr>
        <w:t xml:space="preserve"> Second, the court failed to look to the whole record as required by </w:t>
      </w:r>
      <w:r w:rsidR="00F61709" w:rsidRPr="00F61709">
        <w:rPr>
          <w:rFonts w:ascii="Times New Roman" w:hAnsi="Times New Roman"/>
          <w:i/>
          <w:color w:val="1C1C1C"/>
        </w:rPr>
        <w:t>CELP</w:t>
      </w:r>
      <w:r w:rsidR="00F61709">
        <w:rPr>
          <w:rFonts w:ascii="Times New Roman" w:hAnsi="Times New Roman"/>
          <w:color w:val="1C1C1C"/>
        </w:rPr>
        <w:t>.</w:t>
      </w:r>
      <w:r w:rsidR="00D87274">
        <w:rPr>
          <w:rStyle w:val="FootnoteReference"/>
          <w:rFonts w:ascii="Times New Roman" w:hAnsi="Times New Roman"/>
          <w:color w:val="1C1C1C"/>
        </w:rPr>
        <w:footnoteReference w:id="134"/>
      </w:r>
      <w:r w:rsidR="00F61709">
        <w:rPr>
          <w:rFonts w:ascii="Times New Roman" w:hAnsi="Times New Roman"/>
          <w:color w:val="1C1C1C"/>
        </w:rPr>
        <w:t xml:space="preserve"> As will be shown in the following section, the combination of these errors compromised the courts ability to understand that the </w:t>
      </w:r>
      <w:r w:rsidR="00BF3DAA">
        <w:rPr>
          <w:rFonts w:ascii="Times New Roman" w:hAnsi="Times New Roman"/>
          <w:color w:val="1C1C1C"/>
        </w:rPr>
        <w:t>three-paragraph</w:t>
      </w:r>
      <w:r w:rsidR="00F61709">
        <w:rPr>
          <w:rFonts w:ascii="Times New Roman" w:hAnsi="Times New Roman"/>
          <w:color w:val="1C1C1C"/>
        </w:rPr>
        <w:t xml:space="preserve"> section of the EA it reviewed</w:t>
      </w:r>
      <w:r w:rsidR="00BF3DAA">
        <w:rPr>
          <w:rFonts w:ascii="Times New Roman" w:hAnsi="Times New Roman"/>
          <w:color w:val="1C1C1C"/>
        </w:rPr>
        <w:t>,</w:t>
      </w:r>
      <w:r w:rsidR="00F61709">
        <w:rPr>
          <w:rFonts w:ascii="Times New Roman" w:hAnsi="Times New Roman"/>
          <w:color w:val="1C1C1C"/>
        </w:rPr>
        <w:t xml:space="preserve"> was</w:t>
      </w:r>
      <w:r w:rsidR="00BF3DAA">
        <w:rPr>
          <w:rFonts w:ascii="Times New Roman" w:hAnsi="Times New Roman"/>
          <w:color w:val="1C1C1C"/>
        </w:rPr>
        <w:t xml:space="preserve"> indeed,</w:t>
      </w:r>
      <w:r w:rsidR="00F61709">
        <w:rPr>
          <w:rFonts w:ascii="Times New Roman" w:hAnsi="Times New Roman"/>
          <w:color w:val="1C1C1C"/>
        </w:rPr>
        <w:t xml:space="preserve"> a</w:t>
      </w:r>
      <w:r w:rsidR="00D87274">
        <w:rPr>
          <w:rFonts w:ascii="Times New Roman" w:hAnsi="Times New Roman"/>
          <w:color w:val="1C1C1C"/>
        </w:rPr>
        <w:t xml:space="preserve"> </w:t>
      </w:r>
      <w:r w:rsidR="00BF3DAA">
        <w:rPr>
          <w:rFonts w:ascii="Times New Roman" w:hAnsi="Times New Roman"/>
          <w:color w:val="1C1C1C"/>
        </w:rPr>
        <w:t>fully</w:t>
      </w:r>
      <w:r w:rsidR="00D87274">
        <w:rPr>
          <w:rFonts w:ascii="Times New Roman" w:hAnsi="Times New Roman"/>
          <w:color w:val="1C1C1C"/>
        </w:rPr>
        <w:t xml:space="preserve"> informed and well considered “characterize[</w:t>
      </w:r>
      <w:r w:rsidR="00BF3DAA">
        <w:rPr>
          <w:rFonts w:ascii="Times New Roman" w:hAnsi="Times New Roman"/>
          <w:color w:val="1C1C1C"/>
        </w:rPr>
        <w:t>ation of</w:t>
      </w:r>
      <w:r w:rsidR="00D87274">
        <w:rPr>
          <w:rFonts w:ascii="Times New Roman" w:hAnsi="Times New Roman"/>
          <w:color w:val="1C1C1C"/>
        </w:rPr>
        <w:t>]</w:t>
      </w:r>
      <w:r w:rsidR="00BF3DAA">
        <w:rPr>
          <w:rFonts w:ascii="Times New Roman" w:hAnsi="Times New Roman"/>
          <w:color w:val="1C1C1C"/>
        </w:rPr>
        <w:t xml:space="preserve"> the aggregate cumulative e</w:t>
      </w:r>
      <w:r w:rsidR="00D87274">
        <w:rPr>
          <w:rFonts w:ascii="Times New Roman" w:hAnsi="Times New Roman"/>
          <w:color w:val="1C1C1C"/>
        </w:rPr>
        <w:t>ffect of past projects on lynx.”</w:t>
      </w:r>
      <w:r w:rsidR="00D87274">
        <w:rPr>
          <w:rStyle w:val="FootnoteReference"/>
          <w:rFonts w:ascii="Times New Roman" w:hAnsi="Times New Roman"/>
          <w:color w:val="1C1C1C"/>
        </w:rPr>
        <w:footnoteReference w:id="135"/>
      </w:r>
      <w:r w:rsidR="00F61709">
        <w:rPr>
          <w:rFonts w:ascii="Times New Roman" w:hAnsi="Times New Roman"/>
          <w:color w:val="1C1C1C"/>
        </w:rPr>
        <w:t xml:space="preserve"> </w:t>
      </w:r>
      <w:r w:rsidR="00CA24A9">
        <w:rPr>
          <w:rFonts w:ascii="Times New Roman" w:hAnsi="Times New Roman"/>
          <w:color w:val="1C1C1C"/>
        </w:rPr>
        <w:t xml:space="preserve"> </w:t>
      </w:r>
    </w:p>
    <w:p w14:paraId="34C68F7B" w14:textId="77777777" w:rsidR="00DA2CC2" w:rsidRDefault="00DA2CC2" w:rsidP="00DA2CC2">
      <w:pPr>
        <w:widowControl w:val="0"/>
        <w:autoSpaceDE w:val="0"/>
        <w:autoSpaceDN w:val="0"/>
        <w:adjustRightInd w:val="0"/>
        <w:spacing w:line="360" w:lineRule="auto"/>
        <w:ind w:firstLine="720"/>
        <w:rPr>
          <w:rFonts w:ascii="Times New Roman" w:hAnsi="Times New Roman"/>
          <w:color w:val="1C1C1C"/>
        </w:rPr>
      </w:pPr>
    </w:p>
    <w:p w14:paraId="0171A300" w14:textId="4A5B89E9" w:rsidR="00C02411" w:rsidRPr="00C02411" w:rsidRDefault="00BF3DAA" w:rsidP="00DA2CC2">
      <w:pPr>
        <w:widowControl w:val="0"/>
        <w:autoSpaceDE w:val="0"/>
        <w:autoSpaceDN w:val="0"/>
        <w:adjustRightInd w:val="0"/>
        <w:spacing w:line="360" w:lineRule="auto"/>
        <w:rPr>
          <w:rFonts w:ascii="Times New Roman" w:hAnsi="Times New Roman"/>
          <w:color w:val="1C1C1C"/>
        </w:rPr>
      </w:pPr>
      <w:r w:rsidRPr="00DA2CC2">
        <w:rPr>
          <w:rFonts w:ascii="Times New Roman" w:hAnsi="Times New Roman"/>
        </w:rPr>
        <w:t>C. F</w:t>
      </w:r>
      <w:r w:rsidR="00A16B99" w:rsidRPr="00DA2CC2">
        <w:rPr>
          <w:rFonts w:ascii="Times New Roman" w:hAnsi="Times New Roman"/>
        </w:rPr>
        <w:t>ailing to follow 9</w:t>
      </w:r>
      <w:r w:rsidR="00A16B99" w:rsidRPr="00DA2CC2">
        <w:rPr>
          <w:rFonts w:ascii="Times New Roman" w:hAnsi="Times New Roman"/>
          <w:vertAlign w:val="superscript"/>
        </w:rPr>
        <w:t>th</w:t>
      </w:r>
      <w:r w:rsidR="00A16B99" w:rsidRPr="00DA2CC2">
        <w:rPr>
          <w:rFonts w:ascii="Times New Roman" w:hAnsi="Times New Roman"/>
        </w:rPr>
        <w:t xml:space="preserve"> Circuit precedent</w:t>
      </w:r>
      <w:r w:rsidR="00EE32A2" w:rsidRPr="00DA2CC2">
        <w:rPr>
          <w:rFonts w:ascii="Times New Roman" w:hAnsi="Times New Roman"/>
        </w:rPr>
        <w:t xml:space="preserve"> resulted in th</w:t>
      </w:r>
      <w:r w:rsidR="00A16B99" w:rsidRPr="00DA2CC2">
        <w:rPr>
          <w:rFonts w:ascii="Times New Roman" w:hAnsi="Times New Roman"/>
        </w:rPr>
        <w:t>e courts inability to recognize</w:t>
      </w:r>
      <w:r w:rsidR="00EE32A2" w:rsidRPr="00DA2CC2">
        <w:rPr>
          <w:rFonts w:ascii="Times New Roman" w:hAnsi="Times New Roman"/>
        </w:rPr>
        <w:t xml:space="preserve"> the</w:t>
      </w:r>
      <w:r w:rsidR="00A16B99" w:rsidRPr="00DA2CC2">
        <w:rPr>
          <w:rFonts w:ascii="Times New Roman" w:hAnsi="Times New Roman"/>
        </w:rPr>
        <w:t xml:space="preserve"> adequacy of the</w:t>
      </w:r>
      <w:r w:rsidR="00EE32A2" w:rsidRPr="00DA2CC2">
        <w:rPr>
          <w:rFonts w:ascii="Times New Roman" w:hAnsi="Times New Roman"/>
        </w:rPr>
        <w:t xml:space="preserve"> Forest Service’s characteri</w:t>
      </w:r>
      <w:r w:rsidRPr="00DA2CC2">
        <w:rPr>
          <w:rFonts w:ascii="Times New Roman" w:hAnsi="Times New Roman"/>
        </w:rPr>
        <w:t>zation of its aggregate cumulative effect of past projects analysis</w:t>
      </w:r>
      <w:r w:rsidR="00EE32A2" w:rsidRPr="00DA2CC2">
        <w:rPr>
          <w:rFonts w:ascii="Times New Roman" w:hAnsi="Times New Roman"/>
        </w:rPr>
        <w:t xml:space="preserve"> on lynx</w:t>
      </w:r>
      <w:r w:rsidR="00A16B99">
        <w:rPr>
          <w:rFonts w:ascii="Times New Roman" w:hAnsi="Times New Roman"/>
          <w:i/>
        </w:rPr>
        <w:t>.</w:t>
      </w:r>
    </w:p>
    <w:p w14:paraId="2D32410A" w14:textId="77777777" w:rsidR="00D87274" w:rsidRDefault="00D87274" w:rsidP="00D95695">
      <w:pPr>
        <w:widowControl w:val="0"/>
        <w:autoSpaceDE w:val="0"/>
        <w:autoSpaceDN w:val="0"/>
        <w:adjustRightInd w:val="0"/>
        <w:spacing w:line="360" w:lineRule="auto"/>
        <w:ind w:firstLine="720"/>
        <w:rPr>
          <w:rFonts w:ascii="Times New Roman" w:hAnsi="Times New Roman"/>
        </w:rPr>
      </w:pPr>
    </w:p>
    <w:p w14:paraId="0CE54955" w14:textId="44B3FABB" w:rsidR="00DE4A70" w:rsidRDefault="00EE32A2" w:rsidP="00D95695">
      <w:pPr>
        <w:widowControl w:val="0"/>
        <w:autoSpaceDE w:val="0"/>
        <w:autoSpaceDN w:val="0"/>
        <w:adjustRightInd w:val="0"/>
        <w:spacing w:line="360" w:lineRule="auto"/>
        <w:ind w:firstLine="720"/>
        <w:rPr>
          <w:rFonts w:ascii="Times New Roman" w:hAnsi="Times New Roman"/>
          <w:color w:val="1C1C1C"/>
        </w:rPr>
      </w:pPr>
      <w:r>
        <w:rPr>
          <w:rFonts w:ascii="Times New Roman" w:hAnsi="Times New Roman"/>
        </w:rPr>
        <w:t xml:space="preserve">The </w:t>
      </w:r>
      <w:r>
        <w:rPr>
          <w:rFonts w:ascii="Times New Roman" w:hAnsi="Times New Roman"/>
          <w:i/>
        </w:rPr>
        <w:t>Friends</w:t>
      </w:r>
      <w:r w:rsidR="00A16B99">
        <w:rPr>
          <w:rFonts w:ascii="Times New Roman" w:hAnsi="Times New Roman"/>
        </w:rPr>
        <w:t xml:space="preserve"> court did not recognize the adequacy of the </w:t>
      </w:r>
      <w:r>
        <w:rPr>
          <w:rFonts w:ascii="Times New Roman" w:hAnsi="Times New Roman"/>
        </w:rPr>
        <w:t>Forest Se</w:t>
      </w:r>
      <w:r w:rsidR="00A16B99">
        <w:rPr>
          <w:rFonts w:ascii="Times New Roman" w:hAnsi="Times New Roman"/>
        </w:rPr>
        <w:t xml:space="preserve">rvice’s characterization of its aggregate </w:t>
      </w:r>
      <w:r>
        <w:rPr>
          <w:rFonts w:ascii="Times New Roman" w:hAnsi="Times New Roman"/>
        </w:rPr>
        <w:t>cumulative effects of past actions on lynx</w:t>
      </w:r>
      <w:r w:rsidR="00110B87">
        <w:rPr>
          <w:rFonts w:ascii="Times New Roman" w:hAnsi="Times New Roman"/>
        </w:rPr>
        <w:t xml:space="preserve"> for two</w:t>
      </w:r>
      <w:r w:rsidR="007B33C6">
        <w:rPr>
          <w:rFonts w:ascii="Times New Roman" w:hAnsi="Times New Roman"/>
        </w:rPr>
        <w:t xml:space="preserve"> reasons</w:t>
      </w:r>
      <w:r w:rsidR="00A16B99">
        <w:rPr>
          <w:rFonts w:ascii="Times New Roman" w:hAnsi="Times New Roman"/>
        </w:rPr>
        <w:t xml:space="preserve">. First, </w:t>
      </w:r>
      <w:r w:rsidR="00A655F9">
        <w:rPr>
          <w:rFonts w:ascii="Times New Roman" w:hAnsi="Times New Roman"/>
        </w:rPr>
        <w:t xml:space="preserve">it failed to recognize that an agency </w:t>
      </w:r>
      <w:r w:rsidR="007B33C6">
        <w:rPr>
          <w:rFonts w:ascii="Times New Roman" w:hAnsi="Times New Roman"/>
        </w:rPr>
        <w:t xml:space="preserve">lacking information about past projects </w:t>
      </w:r>
      <w:r w:rsidR="00A655F9">
        <w:rPr>
          <w:rFonts w:ascii="Times New Roman" w:hAnsi="Times New Roman"/>
        </w:rPr>
        <w:t xml:space="preserve">can </w:t>
      </w:r>
      <w:r w:rsidR="007B33C6">
        <w:rPr>
          <w:rFonts w:ascii="Times New Roman" w:hAnsi="Times New Roman"/>
        </w:rPr>
        <w:t>provide justification why it is proper to conduct</w:t>
      </w:r>
      <w:r w:rsidR="00A655F9">
        <w:rPr>
          <w:rFonts w:ascii="Times New Roman" w:hAnsi="Times New Roman"/>
        </w:rPr>
        <w:t xml:space="preserve"> an aggregate cumulative effects of past projects analysis</w:t>
      </w:r>
      <w:r w:rsidR="007B33C6">
        <w:rPr>
          <w:rFonts w:ascii="Times New Roman" w:hAnsi="Times New Roman"/>
        </w:rPr>
        <w:t>.</w:t>
      </w:r>
      <w:r w:rsidR="00F4210F">
        <w:rPr>
          <w:rStyle w:val="FootnoteReference"/>
          <w:rFonts w:ascii="Times New Roman" w:hAnsi="Times New Roman"/>
        </w:rPr>
        <w:footnoteReference w:id="136"/>
      </w:r>
      <w:r w:rsidR="007B33C6">
        <w:rPr>
          <w:rFonts w:ascii="Times New Roman" w:hAnsi="Times New Roman"/>
        </w:rPr>
        <w:t xml:space="preserve"> </w:t>
      </w:r>
      <w:r w:rsidR="00A655F9">
        <w:rPr>
          <w:rFonts w:ascii="Times New Roman" w:hAnsi="Times New Roman"/>
          <w:color w:val="1C1C1C"/>
        </w:rPr>
        <w:t xml:space="preserve">As noted </w:t>
      </w:r>
      <w:r w:rsidR="00A655F9" w:rsidRPr="00A655F9">
        <w:rPr>
          <w:rFonts w:ascii="Times New Roman" w:hAnsi="Times New Roman"/>
          <w:i/>
          <w:color w:val="1C1C1C"/>
        </w:rPr>
        <w:t>supra</w:t>
      </w:r>
      <w:r w:rsidR="007B33C6">
        <w:rPr>
          <w:rFonts w:ascii="Times New Roman" w:hAnsi="Times New Roman"/>
        </w:rPr>
        <w:t>, once an agency has justified its aggregate analysis</w:t>
      </w:r>
      <w:r w:rsidR="006E3081">
        <w:rPr>
          <w:rFonts w:ascii="Times New Roman" w:hAnsi="Times New Roman"/>
        </w:rPr>
        <w:t xml:space="preserve"> </w:t>
      </w:r>
      <w:r w:rsidR="00555244">
        <w:rPr>
          <w:rFonts w:ascii="Times New Roman" w:hAnsi="Times New Roman"/>
        </w:rPr>
        <w:t xml:space="preserve">the court is </w:t>
      </w:r>
      <w:r w:rsidR="00555244">
        <w:rPr>
          <w:rFonts w:ascii="Times New Roman" w:hAnsi="Times New Roman"/>
          <w:color w:val="1C1C1C"/>
        </w:rPr>
        <w:t xml:space="preserve">bound to follow the process laid out in </w:t>
      </w:r>
      <w:r w:rsidR="00555244" w:rsidRPr="001A5897">
        <w:rPr>
          <w:rFonts w:ascii="Times New Roman" w:hAnsi="Times New Roman"/>
          <w:i/>
          <w:color w:val="1C1C1C"/>
        </w:rPr>
        <w:t>CELP</w:t>
      </w:r>
      <w:r w:rsidR="00555244">
        <w:rPr>
          <w:rFonts w:ascii="Times New Roman" w:hAnsi="Times New Roman"/>
          <w:color w:val="1C1C1C"/>
        </w:rPr>
        <w:t xml:space="preserve"> for reviewing</w:t>
      </w:r>
      <w:r w:rsidR="007B33C6">
        <w:rPr>
          <w:rFonts w:ascii="Times New Roman" w:hAnsi="Times New Roman"/>
          <w:color w:val="1C1C1C"/>
        </w:rPr>
        <w:t xml:space="preserve"> its adequacy</w:t>
      </w:r>
      <w:r w:rsidR="00DE4A70">
        <w:rPr>
          <w:rFonts w:ascii="Times New Roman" w:hAnsi="Times New Roman"/>
          <w:color w:val="1C1C1C"/>
        </w:rPr>
        <w:t>.</w:t>
      </w:r>
      <w:r w:rsidR="00F4210F">
        <w:rPr>
          <w:rStyle w:val="FootnoteReference"/>
          <w:rFonts w:ascii="Times New Roman" w:hAnsi="Times New Roman"/>
          <w:color w:val="1C1C1C"/>
        </w:rPr>
        <w:footnoteReference w:id="137"/>
      </w:r>
      <w:r w:rsidR="00DE4A70">
        <w:rPr>
          <w:rFonts w:ascii="Times New Roman" w:hAnsi="Times New Roman"/>
          <w:color w:val="1C1C1C"/>
        </w:rPr>
        <w:t xml:space="preserve"> Second,</w:t>
      </w:r>
      <w:r w:rsidR="007B33C6">
        <w:rPr>
          <w:rFonts w:ascii="Times New Roman" w:hAnsi="Times New Roman"/>
          <w:color w:val="1C1C1C"/>
        </w:rPr>
        <w:t xml:space="preserve"> not following</w:t>
      </w:r>
      <w:r w:rsidR="005D60E2">
        <w:rPr>
          <w:rFonts w:ascii="Times New Roman" w:hAnsi="Times New Roman"/>
          <w:color w:val="1C1C1C"/>
        </w:rPr>
        <w:t xml:space="preserve"> </w:t>
      </w:r>
      <w:r w:rsidR="005D60E2" w:rsidRPr="005D60E2">
        <w:rPr>
          <w:rFonts w:ascii="Times New Roman" w:hAnsi="Times New Roman"/>
          <w:i/>
          <w:color w:val="1C1C1C"/>
        </w:rPr>
        <w:t>CELP</w:t>
      </w:r>
      <w:r w:rsidR="007B33C6">
        <w:rPr>
          <w:rFonts w:ascii="Times New Roman" w:hAnsi="Times New Roman"/>
          <w:i/>
          <w:color w:val="1C1C1C"/>
        </w:rPr>
        <w:t xml:space="preserve">’s </w:t>
      </w:r>
      <w:r w:rsidR="007B33C6" w:rsidRPr="007B33C6">
        <w:rPr>
          <w:rFonts w:ascii="Times New Roman" w:hAnsi="Times New Roman"/>
          <w:color w:val="1C1C1C"/>
        </w:rPr>
        <w:t>direction to</w:t>
      </w:r>
      <w:r w:rsidR="007B33C6">
        <w:rPr>
          <w:rFonts w:ascii="Times New Roman" w:hAnsi="Times New Roman"/>
          <w:i/>
          <w:color w:val="1C1C1C"/>
        </w:rPr>
        <w:t xml:space="preserve"> </w:t>
      </w:r>
      <w:r w:rsidR="007B33C6">
        <w:rPr>
          <w:rFonts w:ascii="Times New Roman" w:hAnsi="Times New Roman"/>
          <w:color w:val="1C1C1C"/>
        </w:rPr>
        <w:t>look to “other portions” of the record</w:t>
      </w:r>
      <w:r w:rsidR="00DE4A70">
        <w:rPr>
          <w:rFonts w:ascii="Times New Roman" w:hAnsi="Times New Roman"/>
          <w:color w:val="1C1C1C"/>
        </w:rPr>
        <w:t xml:space="preserve"> blinded the court to </w:t>
      </w:r>
      <w:r w:rsidR="007B33C6">
        <w:rPr>
          <w:rFonts w:ascii="Times New Roman" w:hAnsi="Times New Roman"/>
          <w:color w:val="1C1C1C"/>
        </w:rPr>
        <w:t xml:space="preserve">the definitive information necessary to understand the agency’s discussion of the relevant facts in its three-paragraph section in the EA devoted to </w:t>
      </w:r>
      <w:r w:rsidR="00110B87">
        <w:rPr>
          <w:rFonts w:ascii="Times New Roman" w:hAnsi="Times New Roman"/>
          <w:color w:val="1C1C1C"/>
        </w:rPr>
        <w:t>the cumulative effects on lynx.</w:t>
      </w:r>
      <w:r w:rsidR="00F4210F">
        <w:rPr>
          <w:rStyle w:val="FootnoteReference"/>
          <w:rFonts w:ascii="Times New Roman" w:hAnsi="Times New Roman"/>
          <w:color w:val="1C1C1C"/>
        </w:rPr>
        <w:footnoteReference w:id="138"/>
      </w:r>
      <w:r w:rsidR="00110B87">
        <w:rPr>
          <w:rFonts w:ascii="Times New Roman" w:hAnsi="Times New Roman"/>
          <w:color w:val="1C1C1C"/>
        </w:rPr>
        <w:t xml:space="preserve"> </w:t>
      </w:r>
      <w:r w:rsidR="0054404F">
        <w:rPr>
          <w:rFonts w:ascii="Times New Roman" w:hAnsi="Times New Roman"/>
          <w:color w:val="1C1C1C"/>
        </w:rPr>
        <w:t xml:space="preserve">The result was that the </w:t>
      </w:r>
      <w:r w:rsidR="009D4FA5">
        <w:rPr>
          <w:rFonts w:ascii="Times New Roman" w:hAnsi="Times New Roman"/>
          <w:i/>
          <w:color w:val="1C1C1C"/>
        </w:rPr>
        <w:t xml:space="preserve">Friends </w:t>
      </w:r>
      <w:r w:rsidR="0054404F">
        <w:rPr>
          <w:rFonts w:ascii="Times New Roman" w:hAnsi="Times New Roman"/>
          <w:color w:val="1C1C1C"/>
        </w:rPr>
        <w:t>co</w:t>
      </w:r>
      <w:r w:rsidR="00181022">
        <w:rPr>
          <w:rFonts w:ascii="Times New Roman" w:hAnsi="Times New Roman"/>
          <w:color w:val="1C1C1C"/>
        </w:rPr>
        <w:t>urt was effectively unable to</w:t>
      </w:r>
      <w:r w:rsidR="00110B87">
        <w:rPr>
          <w:rFonts w:ascii="Times New Roman" w:hAnsi="Times New Roman"/>
          <w:color w:val="1C1C1C"/>
        </w:rPr>
        <w:t xml:space="preserve"> intelligibly</w:t>
      </w:r>
      <w:r w:rsidR="00DE4A70">
        <w:rPr>
          <w:rFonts w:ascii="Times New Roman" w:hAnsi="Times New Roman"/>
          <w:color w:val="1C1C1C"/>
        </w:rPr>
        <w:t xml:space="preserve"> review</w:t>
      </w:r>
      <w:r w:rsidR="0054404F">
        <w:rPr>
          <w:rFonts w:ascii="Times New Roman" w:hAnsi="Times New Roman"/>
          <w:color w:val="1C1C1C"/>
        </w:rPr>
        <w:t xml:space="preserve"> the Forest Service</w:t>
      </w:r>
      <w:r w:rsidR="00DE4A70">
        <w:rPr>
          <w:rFonts w:ascii="Times New Roman" w:hAnsi="Times New Roman"/>
          <w:color w:val="1C1C1C"/>
        </w:rPr>
        <w:t>’s</w:t>
      </w:r>
      <w:r w:rsidR="0054404F">
        <w:rPr>
          <w:rFonts w:ascii="Times New Roman" w:hAnsi="Times New Roman"/>
          <w:color w:val="1C1C1C"/>
        </w:rPr>
        <w:t xml:space="preserve"> </w:t>
      </w:r>
      <w:r w:rsidR="00110B87">
        <w:rPr>
          <w:rFonts w:ascii="Times New Roman" w:hAnsi="Times New Roman"/>
          <w:color w:val="1C1C1C"/>
        </w:rPr>
        <w:t xml:space="preserve">three-paragraph characterization of its </w:t>
      </w:r>
      <w:r w:rsidR="0054404F">
        <w:rPr>
          <w:rFonts w:ascii="Times New Roman" w:hAnsi="Times New Roman"/>
          <w:color w:val="1C1C1C"/>
        </w:rPr>
        <w:t>aggregate analysis of the cumulative effects of past projects on lynx</w:t>
      </w:r>
      <w:r w:rsidR="00110B87">
        <w:rPr>
          <w:rFonts w:ascii="Times New Roman" w:hAnsi="Times New Roman"/>
          <w:color w:val="1C1C1C"/>
        </w:rPr>
        <w:t>.</w:t>
      </w:r>
      <w:r w:rsidR="0054404F">
        <w:rPr>
          <w:rFonts w:ascii="Times New Roman" w:hAnsi="Times New Roman"/>
          <w:color w:val="1C1C1C"/>
        </w:rPr>
        <w:t xml:space="preserve"> </w:t>
      </w:r>
      <w:r w:rsidR="006772B5">
        <w:rPr>
          <w:rFonts w:ascii="Times New Roman" w:hAnsi="Times New Roman"/>
          <w:color w:val="1C1C1C"/>
        </w:rPr>
        <w:t xml:space="preserve">Evidence of this fact is demonstrated when the </w:t>
      </w:r>
      <w:r w:rsidR="009D4FA5">
        <w:rPr>
          <w:rFonts w:ascii="Times New Roman" w:hAnsi="Times New Roman"/>
          <w:color w:val="1C1C1C"/>
        </w:rPr>
        <w:t>court</w:t>
      </w:r>
      <w:r w:rsidR="006772B5">
        <w:rPr>
          <w:rFonts w:ascii="Times New Roman" w:hAnsi="Times New Roman"/>
          <w:color w:val="1C1C1C"/>
        </w:rPr>
        <w:t>’s opinion</w:t>
      </w:r>
      <w:r w:rsidR="009D4FA5">
        <w:rPr>
          <w:rFonts w:ascii="Times New Roman" w:hAnsi="Times New Roman"/>
          <w:color w:val="1C1C1C"/>
        </w:rPr>
        <w:t xml:space="preserve"> segues</w:t>
      </w:r>
      <w:r w:rsidR="00E53C65">
        <w:rPr>
          <w:rFonts w:ascii="Times New Roman" w:hAnsi="Times New Roman"/>
          <w:color w:val="1C1C1C"/>
        </w:rPr>
        <w:t xml:space="preserve"> from </w:t>
      </w:r>
      <w:r w:rsidR="009D4FA5">
        <w:rPr>
          <w:rFonts w:ascii="Times New Roman" w:hAnsi="Times New Roman"/>
          <w:color w:val="1C1C1C"/>
        </w:rPr>
        <w:t>its errant</w:t>
      </w:r>
      <w:r w:rsidR="00E53C65">
        <w:rPr>
          <w:rFonts w:ascii="Times New Roman" w:hAnsi="Times New Roman"/>
          <w:color w:val="1C1C1C"/>
        </w:rPr>
        <w:t xml:space="preserve"> detailed catalogue </w:t>
      </w:r>
      <w:r w:rsidR="009D4FA5">
        <w:rPr>
          <w:rFonts w:ascii="Times New Roman" w:hAnsi="Times New Roman"/>
          <w:color w:val="1C1C1C"/>
        </w:rPr>
        <w:t xml:space="preserve">review, </w:t>
      </w:r>
      <w:r w:rsidR="00E53C65">
        <w:rPr>
          <w:rFonts w:ascii="Times New Roman" w:hAnsi="Times New Roman"/>
          <w:color w:val="1C1C1C"/>
        </w:rPr>
        <w:t xml:space="preserve">to </w:t>
      </w:r>
      <w:r w:rsidR="009D4FA5">
        <w:rPr>
          <w:rFonts w:ascii="Times New Roman" w:hAnsi="Times New Roman"/>
          <w:color w:val="1C1C1C"/>
        </w:rPr>
        <w:t>its legitimate review of</w:t>
      </w:r>
      <w:r w:rsidR="00E53C65">
        <w:rPr>
          <w:rFonts w:ascii="Times New Roman" w:hAnsi="Times New Roman"/>
          <w:color w:val="1C1C1C"/>
        </w:rPr>
        <w:t xml:space="preserve"> the Forest Service</w:t>
      </w:r>
      <w:r w:rsidR="009D4FA5">
        <w:rPr>
          <w:rFonts w:ascii="Times New Roman" w:hAnsi="Times New Roman"/>
          <w:color w:val="1C1C1C"/>
        </w:rPr>
        <w:t>’s</w:t>
      </w:r>
      <w:r w:rsidR="00E53C65">
        <w:rPr>
          <w:rFonts w:ascii="Times New Roman" w:hAnsi="Times New Roman"/>
          <w:color w:val="1C1C1C"/>
        </w:rPr>
        <w:t xml:space="preserve"> aggregate analysis</w:t>
      </w:r>
      <w:r w:rsidR="006772B5">
        <w:rPr>
          <w:rFonts w:ascii="Times New Roman" w:hAnsi="Times New Roman"/>
          <w:color w:val="1C1C1C"/>
        </w:rPr>
        <w:t>.</w:t>
      </w:r>
      <w:r w:rsidR="00F4210F">
        <w:rPr>
          <w:rStyle w:val="FootnoteReference"/>
          <w:rFonts w:ascii="Times New Roman" w:hAnsi="Times New Roman"/>
          <w:color w:val="1C1C1C"/>
        </w:rPr>
        <w:footnoteReference w:id="139"/>
      </w:r>
      <w:r w:rsidR="009D4FA5">
        <w:rPr>
          <w:rFonts w:ascii="Times New Roman" w:hAnsi="Times New Roman"/>
          <w:color w:val="1C1C1C"/>
        </w:rPr>
        <w:t xml:space="preserve"> </w:t>
      </w:r>
    </w:p>
    <w:p w14:paraId="5A03F698" w14:textId="19D81F3C" w:rsidR="00C67B6A" w:rsidRDefault="00D27163" w:rsidP="00D95695">
      <w:pPr>
        <w:widowControl w:val="0"/>
        <w:autoSpaceDE w:val="0"/>
        <w:autoSpaceDN w:val="0"/>
        <w:adjustRightInd w:val="0"/>
        <w:spacing w:line="360" w:lineRule="auto"/>
        <w:ind w:firstLine="720"/>
        <w:rPr>
          <w:rFonts w:ascii="Times New Roman" w:hAnsi="Times New Roman"/>
          <w:color w:val="1C1C1C"/>
        </w:rPr>
      </w:pPr>
      <w:r>
        <w:rPr>
          <w:rFonts w:ascii="Times New Roman" w:hAnsi="Times New Roman"/>
          <w:color w:val="1C1C1C"/>
        </w:rPr>
        <w:t xml:space="preserve">In </w:t>
      </w:r>
      <w:r w:rsidR="00110B87" w:rsidRPr="00110B87">
        <w:rPr>
          <w:rFonts w:ascii="Times New Roman" w:hAnsi="Times New Roman"/>
          <w:i/>
          <w:color w:val="1C1C1C"/>
        </w:rPr>
        <w:t>Friends</w:t>
      </w:r>
      <w:r>
        <w:rPr>
          <w:rFonts w:ascii="Times New Roman" w:hAnsi="Times New Roman"/>
          <w:i/>
          <w:color w:val="1C1C1C"/>
        </w:rPr>
        <w:t>,</w:t>
      </w:r>
      <w:r w:rsidR="00110B87">
        <w:rPr>
          <w:rFonts w:ascii="Times New Roman" w:hAnsi="Times New Roman"/>
          <w:color w:val="1C1C1C"/>
        </w:rPr>
        <w:t xml:space="preserve"> court states</w:t>
      </w:r>
      <w:r w:rsidR="006772B5">
        <w:rPr>
          <w:rFonts w:ascii="Times New Roman" w:hAnsi="Times New Roman"/>
          <w:color w:val="1C1C1C"/>
        </w:rPr>
        <w:t xml:space="preserve"> “even assuming there were no projects” to catalogue in detail, “the Forest Service must still characterize the cumulative effects of past actions in the aggregate.”</w:t>
      </w:r>
      <w:r w:rsidR="00F4210F">
        <w:rPr>
          <w:rStyle w:val="FootnoteReference"/>
          <w:rFonts w:ascii="Times New Roman" w:hAnsi="Times New Roman"/>
          <w:color w:val="1C1C1C"/>
        </w:rPr>
        <w:footnoteReference w:id="140"/>
      </w:r>
      <w:r w:rsidR="008378DC">
        <w:rPr>
          <w:rFonts w:ascii="Times New Roman" w:hAnsi="Times New Roman"/>
          <w:color w:val="1C1C1C"/>
        </w:rPr>
        <w:t xml:space="preserve"> Without</w:t>
      </w:r>
      <w:r w:rsidR="00F220F5">
        <w:rPr>
          <w:rFonts w:ascii="Times New Roman" w:hAnsi="Times New Roman"/>
          <w:color w:val="1C1C1C"/>
        </w:rPr>
        <w:t xml:space="preserve"> recognizing the Forest Service’s characterization f</w:t>
      </w:r>
      <w:r w:rsidR="008378DC">
        <w:rPr>
          <w:rFonts w:ascii="Times New Roman" w:hAnsi="Times New Roman"/>
          <w:color w:val="1C1C1C"/>
        </w:rPr>
        <w:t>or what it was, and without providing any measure of how to assess whether or not Forest Service had in fact sufficiently c</w:t>
      </w:r>
      <w:r w:rsidR="008378DC" w:rsidRPr="00110B87">
        <w:rPr>
          <w:rFonts w:ascii="Times New Roman" w:hAnsi="Times New Roman"/>
          <w:i/>
          <w:color w:val="1C1C1C"/>
        </w:rPr>
        <w:t>haracterized</w:t>
      </w:r>
      <w:r w:rsidR="008378DC">
        <w:rPr>
          <w:rFonts w:ascii="Times New Roman" w:hAnsi="Times New Roman"/>
          <w:color w:val="1C1C1C"/>
        </w:rPr>
        <w:t xml:space="preserve"> the aggregate effect of the past projects at all, the court incorrectly assumed that it did not exist</w:t>
      </w:r>
      <w:r w:rsidR="00F220F5">
        <w:rPr>
          <w:rFonts w:ascii="Times New Roman" w:hAnsi="Times New Roman"/>
          <w:color w:val="1C1C1C"/>
        </w:rPr>
        <w:t>.</w:t>
      </w:r>
      <w:r w:rsidR="00F4210F">
        <w:rPr>
          <w:rStyle w:val="FootnoteReference"/>
          <w:rFonts w:ascii="Times New Roman" w:hAnsi="Times New Roman"/>
          <w:color w:val="1C1C1C"/>
        </w:rPr>
        <w:footnoteReference w:id="141"/>
      </w:r>
      <w:r w:rsidR="00F220F5">
        <w:rPr>
          <w:rFonts w:ascii="Times New Roman" w:hAnsi="Times New Roman"/>
          <w:color w:val="1C1C1C"/>
        </w:rPr>
        <w:t xml:space="preserve"> Once again, however, the 9</w:t>
      </w:r>
      <w:r w:rsidR="00F220F5" w:rsidRPr="00F220F5">
        <w:rPr>
          <w:rFonts w:ascii="Times New Roman" w:hAnsi="Times New Roman"/>
          <w:color w:val="1C1C1C"/>
          <w:vertAlign w:val="superscript"/>
        </w:rPr>
        <w:t>th</w:t>
      </w:r>
      <w:r w:rsidR="00F220F5">
        <w:rPr>
          <w:rFonts w:ascii="Times New Roman" w:hAnsi="Times New Roman"/>
          <w:color w:val="1C1C1C"/>
        </w:rPr>
        <w:t xml:space="preserve"> Circuit precedent that the </w:t>
      </w:r>
      <w:r w:rsidR="00F220F5" w:rsidRPr="00F220F5">
        <w:rPr>
          <w:rFonts w:ascii="Times New Roman" w:hAnsi="Times New Roman"/>
          <w:i/>
          <w:color w:val="1C1C1C"/>
        </w:rPr>
        <w:t>Friends</w:t>
      </w:r>
      <w:r w:rsidR="00F220F5">
        <w:rPr>
          <w:rFonts w:ascii="Times New Roman" w:hAnsi="Times New Roman"/>
          <w:color w:val="1C1C1C"/>
        </w:rPr>
        <w:t xml:space="preserve"> court chose ignore includes a rule that is on po</w:t>
      </w:r>
      <w:r w:rsidR="00160013">
        <w:rPr>
          <w:rFonts w:ascii="Times New Roman" w:hAnsi="Times New Roman"/>
          <w:color w:val="1C1C1C"/>
        </w:rPr>
        <w:t>int.</w:t>
      </w:r>
      <w:r w:rsidR="00F4210F">
        <w:rPr>
          <w:rStyle w:val="FootnoteReference"/>
          <w:rFonts w:ascii="Times New Roman" w:hAnsi="Times New Roman"/>
          <w:color w:val="1C1C1C"/>
        </w:rPr>
        <w:footnoteReference w:id="142"/>
      </w:r>
      <w:r w:rsidR="00160013">
        <w:rPr>
          <w:rFonts w:ascii="Times New Roman" w:hAnsi="Times New Roman"/>
          <w:color w:val="1C1C1C"/>
        </w:rPr>
        <w:t xml:space="preserve"> </w:t>
      </w:r>
      <w:r w:rsidR="00560677">
        <w:rPr>
          <w:rFonts w:ascii="Times New Roman" w:hAnsi="Times New Roman"/>
          <w:color w:val="1C1C1C"/>
        </w:rPr>
        <w:t xml:space="preserve">The </w:t>
      </w:r>
      <w:r w:rsidR="00560677" w:rsidRPr="00D27163">
        <w:rPr>
          <w:rFonts w:ascii="Times New Roman" w:hAnsi="Times New Roman"/>
          <w:i/>
          <w:color w:val="1C1C1C"/>
        </w:rPr>
        <w:t>CELP</w:t>
      </w:r>
      <w:r w:rsidR="008378DC">
        <w:rPr>
          <w:rFonts w:ascii="Times New Roman" w:hAnsi="Times New Roman"/>
          <w:color w:val="1C1C1C"/>
        </w:rPr>
        <w:t xml:space="preserve"> court provides</w:t>
      </w:r>
      <w:r w:rsidR="00560677">
        <w:rPr>
          <w:rFonts w:ascii="Times New Roman" w:hAnsi="Times New Roman"/>
          <w:color w:val="1C1C1C"/>
        </w:rPr>
        <w:t xml:space="preserve"> guidelines</w:t>
      </w:r>
      <w:r w:rsidR="00160013">
        <w:rPr>
          <w:rFonts w:ascii="Times New Roman" w:hAnsi="Times New Roman"/>
          <w:color w:val="1C1C1C"/>
        </w:rPr>
        <w:t xml:space="preserve"> “indicative</w:t>
      </w:r>
      <w:r w:rsidR="00560677">
        <w:rPr>
          <w:rFonts w:ascii="Times New Roman" w:hAnsi="Times New Roman"/>
          <w:color w:val="1C1C1C"/>
        </w:rPr>
        <w:t xml:space="preserve"> of the manner” in which</w:t>
      </w:r>
      <w:r w:rsidR="00ED650F">
        <w:rPr>
          <w:rFonts w:ascii="Times New Roman" w:hAnsi="Times New Roman"/>
          <w:color w:val="1C1C1C"/>
        </w:rPr>
        <w:t xml:space="preserve"> the adequacy of</w:t>
      </w:r>
      <w:r w:rsidR="00560677">
        <w:rPr>
          <w:rFonts w:ascii="Times New Roman" w:hAnsi="Times New Roman"/>
          <w:color w:val="1C1C1C"/>
        </w:rPr>
        <w:t xml:space="preserve"> an agency’s</w:t>
      </w:r>
      <w:r w:rsidR="00160013">
        <w:rPr>
          <w:rFonts w:ascii="Times New Roman" w:hAnsi="Times New Roman"/>
          <w:color w:val="1C1C1C"/>
        </w:rPr>
        <w:t xml:space="preserve"> aggregate </w:t>
      </w:r>
      <w:r w:rsidR="00F220F5">
        <w:rPr>
          <w:rFonts w:ascii="Times New Roman" w:hAnsi="Times New Roman"/>
          <w:color w:val="1C1C1C"/>
        </w:rPr>
        <w:t>past cumulative effects analysis</w:t>
      </w:r>
      <w:r w:rsidR="008378DC">
        <w:rPr>
          <w:rFonts w:ascii="Times New Roman" w:hAnsi="Times New Roman"/>
          <w:color w:val="1C1C1C"/>
        </w:rPr>
        <w:t xml:space="preserve"> can be judged.</w:t>
      </w:r>
      <w:r w:rsidR="00F4210F">
        <w:rPr>
          <w:rStyle w:val="FootnoteReference"/>
          <w:rFonts w:ascii="Times New Roman" w:hAnsi="Times New Roman"/>
          <w:color w:val="1C1C1C"/>
        </w:rPr>
        <w:footnoteReference w:id="143"/>
      </w:r>
      <w:r w:rsidR="008378DC">
        <w:rPr>
          <w:rFonts w:ascii="Times New Roman" w:hAnsi="Times New Roman"/>
          <w:color w:val="1C1C1C"/>
        </w:rPr>
        <w:t xml:space="preserve"> First, does the analysis</w:t>
      </w:r>
      <w:r w:rsidR="00ED650F">
        <w:rPr>
          <w:rFonts w:ascii="Times New Roman" w:hAnsi="Times New Roman"/>
          <w:color w:val="1C1C1C"/>
        </w:rPr>
        <w:t xml:space="preserve"> explain both “the existing condition of the area” and “what the effects of the project would be”?</w:t>
      </w:r>
      <w:r w:rsidR="00B21DA1">
        <w:rPr>
          <w:rStyle w:val="FootnoteReference"/>
          <w:rFonts w:ascii="Times New Roman" w:hAnsi="Times New Roman"/>
          <w:color w:val="1C1C1C"/>
        </w:rPr>
        <w:footnoteReference w:id="144"/>
      </w:r>
      <w:r w:rsidR="00ED650F">
        <w:rPr>
          <w:rFonts w:ascii="Times New Roman" w:hAnsi="Times New Roman"/>
          <w:color w:val="1C1C1C"/>
        </w:rPr>
        <w:t xml:space="preserve"> Second, does is discuss the past projects “necessary to describe the cumulative effect of all past actions combined”?</w:t>
      </w:r>
      <w:r w:rsidR="00B21DA1">
        <w:rPr>
          <w:rStyle w:val="FootnoteReference"/>
          <w:rFonts w:ascii="Times New Roman" w:hAnsi="Times New Roman"/>
          <w:color w:val="1C1C1C"/>
        </w:rPr>
        <w:footnoteReference w:id="145"/>
      </w:r>
      <w:r w:rsidR="00ED650F">
        <w:rPr>
          <w:rFonts w:ascii="Times New Roman" w:hAnsi="Times New Roman"/>
          <w:color w:val="1C1C1C"/>
        </w:rPr>
        <w:t xml:space="preserve"> And finally, does it “rely on quantified or detailed in formation” to “assess the impact of the … project against the … a</w:t>
      </w:r>
      <w:r w:rsidR="00D04F4E">
        <w:rPr>
          <w:rFonts w:ascii="Times New Roman" w:hAnsi="Times New Roman"/>
          <w:color w:val="1C1C1C"/>
        </w:rPr>
        <w:t>ggregate of all past projects”?</w:t>
      </w:r>
      <w:r w:rsidR="00F220F5">
        <w:rPr>
          <w:rStyle w:val="FootnoteReference"/>
          <w:rFonts w:ascii="Times New Roman" w:hAnsi="Times New Roman"/>
          <w:color w:val="1C1C1C"/>
        </w:rPr>
        <w:footnoteReference w:id="146"/>
      </w:r>
      <w:r w:rsidR="00F220F5">
        <w:rPr>
          <w:rFonts w:ascii="Times New Roman" w:hAnsi="Times New Roman"/>
          <w:color w:val="1C1C1C"/>
        </w:rPr>
        <w:t xml:space="preserve"> </w:t>
      </w:r>
      <w:r w:rsidR="00F425DD">
        <w:rPr>
          <w:rFonts w:ascii="Times New Roman" w:hAnsi="Times New Roman"/>
          <w:color w:val="1C1C1C"/>
        </w:rPr>
        <w:t xml:space="preserve">If the </w:t>
      </w:r>
      <w:r w:rsidR="00F425DD" w:rsidRPr="00F425DD">
        <w:rPr>
          <w:rFonts w:ascii="Times New Roman" w:hAnsi="Times New Roman"/>
          <w:i/>
          <w:color w:val="1C1C1C"/>
        </w:rPr>
        <w:t>Friends</w:t>
      </w:r>
      <w:r w:rsidR="00F425DD">
        <w:rPr>
          <w:rFonts w:ascii="Times New Roman" w:hAnsi="Times New Roman"/>
          <w:color w:val="1C1C1C"/>
        </w:rPr>
        <w:t xml:space="preserve"> court had followed the processes set out in </w:t>
      </w:r>
      <w:r w:rsidR="00F425DD" w:rsidRPr="00F425DD">
        <w:rPr>
          <w:rFonts w:ascii="Times New Roman" w:hAnsi="Times New Roman"/>
          <w:i/>
          <w:color w:val="1C1C1C"/>
        </w:rPr>
        <w:t>CELP</w:t>
      </w:r>
      <w:r w:rsidR="00F425DD">
        <w:rPr>
          <w:rFonts w:ascii="Times New Roman" w:hAnsi="Times New Roman"/>
          <w:color w:val="1C1C1C"/>
        </w:rPr>
        <w:t>, it wou</w:t>
      </w:r>
      <w:r w:rsidR="00E36269">
        <w:rPr>
          <w:rFonts w:ascii="Times New Roman" w:hAnsi="Times New Roman"/>
          <w:color w:val="1C1C1C"/>
        </w:rPr>
        <w:t>ld have found</w:t>
      </w:r>
      <w:r w:rsidR="00F425DD">
        <w:rPr>
          <w:rFonts w:ascii="Times New Roman" w:hAnsi="Times New Roman"/>
          <w:color w:val="1C1C1C"/>
        </w:rPr>
        <w:t xml:space="preserve"> detailed information </w:t>
      </w:r>
      <w:r w:rsidR="00E36269">
        <w:rPr>
          <w:rFonts w:ascii="Times New Roman" w:hAnsi="Times New Roman"/>
          <w:color w:val="1C1C1C"/>
        </w:rPr>
        <w:t xml:space="preserve">throughout EA that would have allowed to readily comprehend that the the Forest Service’s characterization of its aggregate cumulative effects analysis was sufficient. A review of the EA in light of </w:t>
      </w:r>
      <w:r w:rsidR="00E36269" w:rsidRPr="00C67B6A">
        <w:rPr>
          <w:rFonts w:ascii="Times New Roman" w:hAnsi="Times New Roman"/>
          <w:i/>
          <w:color w:val="1C1C1C"/>
        </w:rPr>
        <w:t>CELP’s</w:t>
      </w:r>
      <w:r w:rsidR="00C67B6A">
        <w:rPr>
          <w:rFonts w:ascii="Times New Roman" w:hAnsi="Times New Roman"/>
          <w:color w:val="1C1C1C"/>
        </w:rPr>
        <w:t xml:space="preserve"> guidance</w:t>
      </w:r>
      <w:r w:rsidR="00E36269">
        <w:rPr>
          <w:rFonts w:ascii="Times New Roman" w:hAnsi="Times New Roman"/>
          <w:color w:val="1C1C1C"/>
        </w:rPr>
        <w:t xml:space="preserve"> demonstrates </w:t>
      </w:r>
      <w:r w:rsidR="00C67B6A">
        <w:rPr>
          <w:rFonts w:ascii="Times New Roman" w:hAnsi="Times New Roman"/>
          <w:color w:val="1C1C1C"/>
        </w:rPr>
        <w:t>why.</w:t>
      </w:r>
    </w:p>
    <w:p w14:paraId="785598A2" w14:textId="7DD22199" w:rsidR="00D96986" w:rsidRDefault="00C67B6A" w:rsidP="00D95695">
      <w:pPr>
        <w:widowControl w:val="0"/>
        <w:autoSpaceDE w:val="0"/>
        <w:autoSpaceDN w:val="0"/>
        <w:adjustRightInd w:val="0"/>
        <w:spacing w:line="360" w:lineRule="auto"/>
        <w:ind w:firstLine="720"/>
        <w:rPr>
          <w:rFonts w:ascii="Times New Roman" w:hAnsi="Times New Roman"/>
          <w:color w:val="1C1C1C"/>
        </w:rPr>
      </w:pPr>
      <w:r>
        <w:rPr>
          <w:rFonts w:ascii="Times New Roman" w:hAnsi="Times New Roman"/>
          <w:color w:val="1C1C1C"/>
        </w:rPr>
        <w:t xml:space="preserve">First, </w:t>
      </w:r>
      <w:r w:rsidRPr="00C67B6A">
        <w:rPr>
          <w:rFonts w:ascii="Times New Roman" w:hAnsi="Times New Roman"/>
          <w:i/>
          <w:color w:val="1C1C1C"/>
        </w:rPr>
        <w:t>CELP</w:t>
      </w:r>
      <w:r>
        <w:rPr>
          <w:rFonts w:ascii="Times New Roman" w:hAnsi="Times New Roman"/>
          <w:color w:val="1C1C1C"/>
        </w:rPr>
        <w:t xml:space="preserve"> recognizes that </w:t>
      </w:r>
      <w:r>
        <w:rPr>
          <w:rFonts w:ascii="Times New Roman" w:hAnsi="Times New Roman"/>
        </w:rPr>
        <w:t>agency lacking information about past projects can provide justification why it is proper to conduct an aggregate cumulative effect of past projects analysis.</w:t>
      </w:r>
      <w:r w:rsidR="00B21DA1">
        <w:rPr>
          <w:rStyle w:val="FootnoteReference"/>
          <w:rFonts w:ascii="Times New Roman" w:hAnsi="Times New Roman"/>
        </w:rPr>
        <w:footnoteReference w:id="147"/>
      </w:r>
      <w:r>
        <w:rPr>
          <w:rFonts w:ascii="Times New Roman" w:hAnsi="Times New Roman"/>
        </w:rPr>
        <w:t xml:space="preserve"> </w:t>
      </w:r>
      <w:r w:rsidR="00642086">
        <w:rPr>
          <w:rFonts w:ascii="Times New Roman" w:hAnsi="Times New Roman"/>
          <w:color w:val="1C1C1C"/>
        </w:rPr>
        <w:t>Because the Forest Service chose to explain the cumulative impact that the Colt Summit Project would have on lynx by aggregating the cumulative effects of past actions to explain the existing conditions of the land, it was careful to provide a rationale for doing so in two portions of the EA</w:t>
      </w:r>
      <w:r w:rsidR="00642086">
        <w:rPr>
          <w:rStyle w:val="FootnoteReference"/>
          <w:rFonts w:ascii="Times New Roman" w:hAnsi="Times New Roman"/>
          <w:color w:val="1C1C1C"/>
        </w:rPr>
        <w:footnoteReference w:id="148"/>
      </w:r>
      <w:r w:rsidR="00642086">
        <w:rPr>
          <w:rFonts w:ascii="Times New Roman" w:hAnsi="Times New Roman"/>
          <w:color w:val="1C1C1C"/>
        </w:rPr>
        <w:t>. In the section of the EA titled “Cumulative Effects on Lynx,” the Forest Service states, “Detailed data [on PCTC land] is not available in regard to suitability as lynx habitat.”</w:t>
      </w:r>
      <w:r w:rsidR="00642086">
        <w:rPr>
          <w:rStyle w:val="FootnoteReference"/>
          <w:rFonts w:ascii="Times New Roman" w:hAnsi="Times New Roman"/>
          <w:color w:val="1C1C1C"/>
        </w:rPr>
        <w:footnoteReference w:id="149"/>
      </w:r>
      <w:r w:rsidR="00642086">
        <w:rPr>
          <w:rFonts w:ascii="Times New Roman" w:hAnsi="Times New Roman"/>
          <w:color w:val="1C1C1C"/>
        </w:rPr>
        <w:t xml:space="preserve"> And in the preface to Appendix D the Forest Service also states, “These tables, though comprehensive, may have some unintended omissions due to lack of records or knowledge.”</w:t>
      </w:r>
      <w:r w:rsidR="00642086">
        <w:rPr>
          <w:rStyle w:val="FootnoteReference"/>
          <w:rFonts w:ascii="Times New Roman" w:hAnsi="Times New Roman"/>
          <w:color w:val="1C1C1C"/>
        </w:rPr>
        <w:footnoteReference w:id="150"/>
      </w:r>
      <w:r w:rsidR="00642086">
        <w:rPr>
          <w:rFonts w:ascii="Times New Roman" w:hAnsi="Times New Roman"/>
          <w:color w:val="1C1C1C"/>
        </w:rPr>
        <w:t xml:space="preserve"> These s</w:t>
      </w:r>
      <w:r w:rsidR="00B21DA1">
        <w:rPr>
          <w:rFonts w:ascii="Times New Roman" w:hAnsi="Times New Roman"/>
          <w:color w:val="1C1C1C"/>
        </w:rPr>
        <w:t>tatements are intended provide justification</w:t>
      </w:r>
      <w:r w:rsidR="00642086">
        <w:rPr>
          <w:rFonts w:ascii="Times New Roman" w:hAnsi="Times New Roman"/>
          <w:color w:val="1C1C1C"/>
        </w:rPr>
        <w:t xml:space="preserve"> regarding why the agency is conducting an aggregate analysis. </w:t>
      </w:r>
      <w:r w:rsidR="00066A0E">
        <w:rPr>
          <w:rFonts w:ascii="Times New Roman" w:hAnsi="Times New Roman"/>
          <w:color w:val="1C1C1C"/>
        </w:rPr>
        <w:t>But the court had no way to identify the fact that the Forest Service had “justified” its choice to utilize an aggregate approach to analyzing the cumulative effect of past actions on lynx because it omitted the sufficient justification analysis cited by both the 9</w:t>
      </w:r>
      <w:r w:rsidR="00066A0E" w:rsidRPr="00066A0E">
        <w:rPr>
          <w:rFonts w:ascii="Times New Roman" w:hAnsi="Times New Roman"/>
          <w:color w:val="1C1C1C"/>
          <w:vertAlign w:val="superscript"/>
        </w:rPr>
        <w:t>th</w:t>
      </w:r>
      <w:r w:rsidR="00066A0E">
        <w:rPr>
          <w:rFonts w:ascii="Times New Roman" w:hAnsi="Times New Roman"/>
          <w:color w:val="1C1C1C"/>
        </w:rPr>
        <w:t xml:space="preserve"> Circuit </w:t>
      </w:r>
      <w:r w:rsidR="00066A0E">
        <w:rPr>
          <w:rFonts w:ascii="Times New Roman" w:hAnsi="Times New Roman"/>
          <w:i/>
          <w:color w:val="1C1C1C"/>
        </w:rPr>
        <w:t xml:space="preserve">CELP </w:t>
      </w:r>
      <w:r w:rsidR="00066A0E">
        <w:rPr>
          <w:rFonts w:ascii="Times New Roman" w:hAnsi="Times New Roman"/>
          <w:color w:val="1C1C1C"/>
        </w:rPr>
        <w:t xml:space="preserve">and </w:t>
      </w:r>
      <w:r w:rsidR="00066A0E">
        <w:rPr>
          <w:rFonts w:ascii="Times New Roman" w:hAnsi="Times New Roman"/>
          <w:i/>
          <w:color w:val="1C1C1C"/>
        </w:rPr>
        <w:t xml:space="preserve">Te-Moak </w:t>
      </w:r>
      <w:r w:rsidR="00066A0E">
        <w:rPr>
          <w:rFonts w:ascii="Times New Roman" w:hAnsi="Times New Roman"/>
          <w:color w:val="1C1C1C"/>
        </w:rPr>
        <w:t xml:space="preserve">courts. </w:t>
      </w:r>
      <w:r w:rsidR="00B21DA1">
        <w:rPr>
          <w:rStyle w:val="FootnoteReference"/>
          <w:rFonts w:ascii="Times New Roman" w:hAnsi="Times New Roman"/>
          <w:color w:val="1C1C1C"/>
        </w:rPr>
        <w:footnoteReference w:id="151"/>
      </w:r>
      <w:r w:rsidR="00B21DA1">
        <w:rPr>
          <w:rFonts w:ascii="Times New Roman" w:hAnsi="Times New Roman"/>
          <w:color w:val="1C1C1C"/>
        </w:rPr>
        <w:t xml:space="preserve"> </w:t>
      </w:r>
      <w:r w:rsidR="00066A0E">
        <w:rPr>
          <w:rFonts w:ascii="Times New Roman" w:hAnsi="Times New Roman"/>
          <w:color w:val="1C1C1C"/>
        </w:rPr>
        <w:t xml:space="preserve">This explanation also provides evidence indicating why the court persisted in its attempt to analyze the EA through the sufficiently detailed catalog standard in </w:t>
      </w:r>
      <w:r w:rsidR="00066A0E">
        <w:rPr>
          <w:rFonts w:ascii="Times New Roman" w:hAnsi="Times New Roman"/>
          <w:i/>
          <w:color w:val="1C1C1C"/>
        </w:rPr>
        <w:t>Te-Moak.</w:t>
      </w:r>
      <w:r w:rsidR="00B21DA1" w:rsidRPr="00B21DA1">
        <w:rPr>
          <w:rStyle w:val="FootnoteReference"/>
          <w:rFonts w:ascii="Times New Roman" w:hAnsi="Times New Roman"/>
          <w:color w:val="1C1C1C"/>
        </w:rPr>
        <w:footnoteReference w:id="152"/>
      </w:r>
      <w:r w:rsidR="00066A0E">
        <w:rPr>
          <w:rFonts w:ascii="Times New Roman" w:hAnsi="Times New Roman"/>
          <w:i/>
          <w:color w:val="1C1C1C"/>
        </w:rPr>
        <w:t xml:space="preserve"> </w:t>
      </w:r>
      <w:r w:rsidR="00066A0E">
        <w:rPr>
          <w:rFonts w:ascii="Times New Roman" w:hAnsi="Times New Roman"/>
          <w:color w:val="1C1C1C"/>
        </w:rPr>
        <w:t>Perhaps, if the court had</w:t>
      </w:r>
      <w:r w:rsidR="00D96986">
        <w:rPr>
          <w:rFonts w:ascii="Times New Roman" w:hAnsi="Times New Roman"/>
          <w:color w:val="1C1C1C"/>
        </w:rPr>
        <w:t xml:space="preserve"> followed </w:t>
      </w:r>
      <w:r w:rsidR="00D96986" w:rsidRPr="00D96986">
        <w:rPr>
          <w:rFonts w:ascii="Times New Roman" w:hAnsi="Times New Roman"/>
          <w:i/>
          <w:color w:val="1C1C1C"/>
        </w:rPr>
        <w:t>CELP</w:t>
      </w:r>
      <w:r w:rsidR="00D96986">
        <w:rPr>
          <w:rFonts w:ascii="Times New Roman" w:hAnsi="Times New Roman"/>
          <w:i/>
          <w:color w:val="1C1C1C"/>
        </w:rPr>
        <w:t xml:space="preserve">’s </w:t>
      </w:r>
      <w:r w:rsidR="00D96986">
        <w:rPr>
          <w:rFonts w:ascii="Times New Roman" w:hAnsi="Times New Roman"/>
          <w:color w:val="1C1C1C"/>
        </w:rPr>
        <w:t>instruction to</w:t>
      </w:r>
      <w:r w:rsidR="00642086">
        <w:rPr>
          <w:rFonts w:ascii="Times New Roman" w:hAnsi="Times New Roman"/>
          <w:color w:val="1C1C1C"/>
        </w:rPr>
        <w:t xml:space="preserve"> look</w:t>
      </w:r>
      <w:r w:rsidR="00D96986">
        <w:rPr>
          <w:rFonts w:ascii="Times New Roman" w:hAnsi="Times New Roman"/>
          <w:color w:val="1C1C1C"/>
        </w:rPr>
        <w:t xml:space="preserve"> at</w:t>
      </w:r>
      <w:r w:rsidR="00642086">
        <w:rPr>
          <w:rFonts w:ascii="Times New Roman" w:hAnsi="Times New Roman"/>
          <w:color w:val="1C1C1C"/>
        </w:rPr>
        <w:t xml:space="preserve"> other portions of the EA</w:t>
      </w:r>
      <w:r w:rsidR="00D96986">
        <w:rPr>
          <w:rFonts w:ascii="Times New Roman" w:hAnsi="Times New Roman"/>
          <w:color w:val="1C1C1C"/>
        </w:rPr>
        <w:t>, it would have discovered the justification by the Forest Service and avoided both unfortunate outcomes.</w:t>
      </w:r>
    </w:p>
    <w:p w14:paraId="6EC43DCE" w14:textId="46F3BD6F" w:rsidR="00CD1BC6" w:rsidRPr="00C02411" w:rsidRDefault="00D96986" w:rsidP="00D95695">
      <w:pPr>
        <w:widowControl w:val="0"/>
        <w:autoSpaceDE w:val="0"/>
        <w:autoSpaceDN w:val="0"/>
        <w:adjustRightInd w:val="0"/>
        <w:spacing w:line="360" w:lineRule="auto"/>
        <w:ind w:firstLine="720"/>
        <w:rPr>
          <w:rFonts w:ascii="Times New Roman" w:hAnsi="Times New Roman"/>
          <w:color w:val="1C1C1C"/>
        </w:rPr>
      </w:pPr>
      <w:r>
        <w:rPr>
          <w:rFonts w:ascii="Times New Roman" w:hAnsi="Times New Roman"/>
          <w:color w:val="1C1C1C"/>
        </w:rPr>
        <w:t xml:space="preserve">Second, because the court did not follow </w:t>
      </w:r>
      <w:r w:rsidRPr="005D60E2">
        <w:rPr>
          <w:rFonts w:ascii="Times New Roman" w:hAnsi="Times New Roman"/>
          <w:i/>
          <w:color w:val="1C1C1C"/>
        </w:rPr>
        <w:t>CELP</w:t>
      </w:r>
      <w:r>
        <w:rPr>
          <w:rFonts w:ascii="Times New Roman" w:hAnsi="Times New Roman"/>
          <w:i/>
          <w:color w:val="1C1C1C"/>
        </w:rPr>
        <w:t xml:space="preserve">’s </w:t>
      </w:r>
      <w:r w:rsidRPr="007B33C6">
        <w:rPr>
          <w:rFonts w:ascii="Times New Roman" w:hAnsi="Times New Roman"/>
          <w:color w:val="1C1C1C"/>
        </w:rPr>
        <w:t>direction to</w:t>
      </w:r>
      <w:r>
        <w:rPr>
          <w:rFonts w:ascii="Times New Roman" w:hAnsi="Times New Roman"/>
          <w:i/>
          <w:color w:val="1C1C1C"/>
        </w:rPr>
        <w:t xml:space="preserve"> </w:t>
      </w:r>
      <w:r>
        <w:rPr>
          <w:rFonts w:ascii="Times New Roman" w:hAnsi="Times New Roman"/>
          <w:color w:val="1C1C1C"/>
        </w:rPr>
        <w:t>look to “other portions” of the record it was blind</w:t>
      </w:r>
      <w:r w:rsidR="00B21DA1">
        <w:rPr>
          <w:rFonts w:ascii="Times New Roman" w:hAnsi="Times New Roman"/>
          <w:color w:val="1C1C1C"/>
        </w:rPr>
        <w:t xml:space="preserve"> to</w:t>
      </w:r>
      <w:r>
        <w:rPr>
          <w:rFonts w:ascii="Times New Roman" w:hAnsi="Times New Roman"/>
          <w:color w:val="1C1C1C"/>
        </w:rPr>
        <w:t xml:space="preserve"> the information the Forest Service provided in </w:t>
      </w:r>
      <w:r w:rsidR="00B21DA1">
        <w:rPr>
          <w:rFonts w:ascii="Times New Roman" w:hAnsi="Times New Roman"/>
          <w:color w:val="1C1C1C"/>
        </w:rPr>
        <w:t>other sections of the EA that were</w:t>
      </w:r>
      <w:r>
        <w:rPr>
          <w:rFonts w:ascii="Times New Roman" w:hAnsi="Times New Roman"/>
          <w:color w:val="1C1C1C"/>
        </w:rPr>
        <w:t xml:space="preserve"> essential to understanding the agency’s three-paragraph characterization of its aggregate analysis.</w:t>
      </w:r>
      <w:r w:rsidR="00B21DA1">
        <w:rPr>
          <w:rStyle w:val="FootnoteReference"/>
          <w:rFonts w:ascii="Times New Roman" w:hAnsi="Times New Roman"/>
          <w:color w:val="1C1C1C"/>
        </w:rPr>
        <w:footnoteReference w:id="153"/>
      </w:r>
      <w:r w:rsidR="00A4732C">
        <w:rPr>
          <w:rFonts w:ascii="Times New Roman" w:hAnsi="Times New Roman"/>
          <w:color w:val="1C1C1C"/>
        </w:rPr>
        <w:t xml:space="preserve"> Relying on information drawn solely from that narrow section, </w:t>
      </w:r>
      <w:r w:rsidR="00EE32A2">
        <w:rPr>
          <w:rFonts w:cs="Times New Roman"/>
        </w:rPr>
        <w:t>the court intimates that the Forest service only discussed the acquisition of 640 acres of PCTC land and the impact of snowmobile activity in the area.</w:t>
      </w:r>
      <w:r w:rsidR="00EE32A2">
        <w:rPr>
          <w:rStyle w:val="FootnoteReference"/>
          <w:rFonts w:cs="Times New Roman"/>
        </w:rPr>
        <w:footnoteReference w:id="154"/>
      </w:r>
      <w:r w:rsidR="00EE32A2">
        <w:rPr>
          <w:rFonts w:cs="Times New Roman"/>
        </w:rPr>
        <w:t xml:space="preserve"> </w:t>
      </w:r>
      <w:r w:rsidR="00A4732C">
        <w:rPr>
          <w:rFonts w:cs="Times New Roman"/>
        </w:rPr>
        <w:t>Howev</w:t>
      </w:r>
      <w:r w:rsidR="00365D0C">
        <w:rPr>
          <w:rFonts w:cs="Times New Roman"/>
        </w:rPr>
        <w:t>er, the court’s claim tells only as much</w:t>
      </w:r>
      <w:r w:rsidR="00A4732C">
        <w:rPr>
          <w:rFonts w:cs="Times New Roman"/>
        </w:rPr>
        <w:t xml:space="preserve"> of the story</w:t>
      </w:r>
      <w:r w:rsidR="00365D0C">
        <w:rPr>
          <w:rFonts w:cs="Times New Roman"/>
        </w:rPr>
        <w:t xml:space="preserve"> as it is able to glean from one page of a very large book</w:t>
      </w:r>
      <w:r w:rsidR="00A4732C">
        <w:rPr>
          <w:rFonts w:cs="Times New Roman"/>
        </w:rPr>
        <w:t>.</w:t>
      </w:r>
      <w:r w:rsidR="00365D0C">
        <w:rPr>
          <w:rFonts w:cs="Times New Roman"/>
        </w:rPr>
        <w:t xml:space="preserve"> That page, read in conjunction with the rest of the EA, tells a very different story than that understood by the </w:t>
      </w:r>
      <w:r w:rsidR="00365D0C" w:rsidRPr="00365D0C">
        <w:rPr>
          <w:rFonts w:cs="Times New Roman"/>
          <w:i/>
        </w:rPr>
        <w:t>Friends</w:t>
      </w:r>
      <w:r w:rsidR="00365D0C">
        <w:rPr>
          <w:rFonts w:cs="Times New Roman"/>
        </w:rPr>
        <w:t xml:space="preserve"> court. </w:t>
      </w:r>
      <w:r w:rsidR="00365D0C">
        <w:rPr>
          <w:rFonts w:ascii="Times New Roman" w:hAnsi="Times New Roman"/>
          <w:color w:val="1C1C1C"/>
        </w:rPr>
        <w:t>If the court had looked to other parts of the EA it would have recognized that the Forest Service did “characterize” the cumulative effects of past projects on lynx under the sub-heading “Cumulative Effects on Lynx.”</w:t>
      </w:r>
      <w:r w:rsidR="00365D0C">
        <w:rPr>
          <w:rStyle w:val="FootnoteReference"/>
          <w:rFonts w:ascii="Times New Roman" w:hAnsi="Times New Roman"/>
          <w:color w:val="1C1C1C"/>
        </w:rPr>
        <w:footnoteReference w:id="155"/>
      </w:r>
    </w:p>
    <w:p w14:paraId="6323F163" w14:textId="41BB818B" w:rsidR="00EE32A2" w:rsidRDefault="00CD1BC6" w:rsidP="00D95695">
      <w:pPr>
        <w:pStyle w:val="Default"/>
        <w:spacing w:line="360" w:lineRule="auto"/>
        <w:ind w:firstLine="720"/>
        <w:rPr>
          <w:rFonts w:cs="Times New Roman"/>
        </w:rPr>
      </w:pPr>
      <w:r>
        <w:rPr>
          <w:color w:val="1C1C1C"/>
        </w:rPr>
        <w:t xml:space="preserve">For example, under the heading “Cumulative Effects on Lynx” </w:t>
      </w:r>
      <w:r w:rsidR="00EE32A2">
        <w:rPr>
          <w:rFonts w:cs="Times New Roman"/>
        </w:rPr>
        <w:t>the Forest Service begins by explaining why the Clearwater LAU is the appropriate cumulative effects analysis area.</w:t>
      </w:r>
      <w:r w:rsidR="00EE32A2">
        <w:rPr>
          <w:rStyle w:val="FootnoteReference"/>
          <w:rFonts w:cs="Times New Roman"/>
        </w:rPr>
        <w:footnoteReference w:id="156"/>
      </w:r>
      <w:r w:rsidR="00EE32A2">
        <w:rPr>
          <w:rFonts w:cs="Times New Roman"/>
        </w:rPr>
        <w:t xml:space="preserve"> It then states that the land within this area is comprised of both federal and private ownership.</w:t>
      </w:r>
      <w:r w:rsidR="00EE32A2">
        <w:rPr>
          <w:rStyle w:val="FootnoteReference"/>
          <w:rFonts w:cs="Times New Roman"/>
        </w:rPr>
        <w:footnoteReference w:id="157"/>
      </w:r>
      <w:r w:rsidR="00EE32A2">
        <w:rPr>
          <w:rFonts w:cs="Times New Roman"/>
        </w:rPr>
        <w:t xml:space="preserve"> It then qualifies this statement by recognizing that 640 acres of previously private PCTC land has recently come under federal ownership.</w:t>
      </w:r>
      <w:r w:rsidR="00EE32A2">
        <w:rPr>
          <w:rStyle w:val="FootnoteReference"/>
          <w:rFonts w:cs="Times New Roman"/>
        </w:rPr>
        <w:footnoteReference w:id="158"/>
      </w:r>
      <w:r w:rsidR="00EE32A2">
        <w:rPr>
          <w:rFonts w:cs="Times New Roman"/>
        </w:rPr>
        <w:t xml:space="preserve"> Importantly, it then states “[d]etailed data is not available on former PCTC lands in regard to suitability as lynx </w:t>
      </w:r>
      <w:r w:rsidR="00C02411">
        <w:rPr>
          <w:rFonts w:cs="Times New Roman"/>
        </w:rPr>
        <w:t xml:space="preserve">habitat” in accordance with the </w:t>
      </w:r>
      <w:r w:rsidR="00EE32A2">
        <w:rPr>
          <w:rFonts w:cs="Times New Roman"/>
        </w:rPr>
        <w:t>law.</w:t>
      </w:r>
      <w:r w:rsidR="00EE32A2">
        <w:rPr>
          <w:rStyle w:val="FootnoteReference"/>
          <w:rFonts w:cs="Times New Roman"/>
        </w:rPr>
        <w:footnoteReference w:id="159"/>
      </w:r>
      <w:r w:rsidR="00EE32A2">
        <w:rPr>
          <w:rFonts w:cs="Times New Roman"/>
        </w:rPr>
        <w:t xml:space="preserve"> This statement is important because the EA then states:</w:t>
      </w:r>
    </w:p>
    <w:p w14:paraId="34BAFFA3" w14:textId="77777777" w:rsidR="00BF7B1D" w:rsidRDefault="00BF7B1D" w:rsidP="00D95695">
      <w:pPr>
        <w:pStyle w:val="Default"/>
        <w:spacing w:line="360" w:lineRule="auto"/>
        <w:ind w:firstLine="720"/>
        <w:rPr>
          <w:rFonts w:cs="Times New Roman"/>
        </w:rPr>
      </w:pPr>
    </w:p>
    <w:p w14:paraId="416784D7" w14:textId="6DA6DFBA" w:rsidR="00EE32A2" w:rsidRDefault="00EE32A2" w:rsidP="000A4FC0">
      <w:pPr>
        <w:pStyle w:val="Default"/>
        <w:ind w:left="720" w:right="720"/>
        <w:jc w:val="both"/>
        <w:rPr>
          <w:rFonts w:cs="Times New Roman"/>
        </w:rPr>
      </w:pPr>
      <w:r>
        <w:rPr>
          <w:rFonts w:cs="Times New Roman"/>
        </w:rPr>
        <w:t>The management practices on these lands in recent years have created a large amount of early successional habitat, some of which would qualify as unsuitable. Some PCTC stands in young age classes have been treated with precommercial thinning as well. Conversely, Federal lands are comprised primarily of older stands, with stands in the 0 to 45-year range being patchily distributed. It is likely that the character of the recently acquired PCTC lands will change in the foreseeable future. These lands, now under Federal management, will likely experience a net increase in suitable lynx habitat. Stand age will likely increase on these lands as well. There is no longer a risk of these lands being converted to small private lots due to Federal ownership, removing a considerable threat to lynx.</w:t>
      </w:r>
      <w:r>
        <w:rPr>
          <w:rStyle w:val="FootnoteReference"/>
          <w:rFonts w:cs="Times New Roman"/>
        </w:rPr>
        <w:footnoteReference w:id="160"/>
      </w:r>
      <w:r>
        <w:rPr>
          <w:rFonts w:cs="Times New Roman"/>
        </w:rPr>
        <w:t xml:space="preserve">          </w:t>
      </w:r>
    </w:p>
    <w:p w14:paraId="35E1E5EC" w14:textId="77777777" w:rsidR="000A4FC0" w:rsidRDefault="000A4FC0" w:rsidP="000A4FC0">
      <w:pPr>
        <w:pStyle w:val="Default"/>
        <w:ind w:left="720" w:right="720"/>
        <w:jc w:val="both"/>
        <w:rPr>
          <w:rFonts w:cs="Times New Roman"/>
        </w:rPr>
      </w:pPr>
    </w:p>
    <w:p w14:paraId="5165821E" w14:textId="56FD7347" w:rsidR="00C02411" w:rsidRDefault="005F7308" w:rsidP="00D95695">
      <w:pPr>
        <w:widowControl w:val="0"/>
        <w:autoSpaceDE w:val="0"/>
        <w:autoSpaceDN w:val="0"/>
        <w:adjustRightInd w:val="0"/>
        <w:spacing w:line="360" w:lineRule="auto"/>
        <w:rPr>
          <w:rFonts w:ascii="Times New Roman" w:hAnsi="Times New Roman"/>
          <w:color w:val="1C1C1C"/>
        </w:rPr>
      </w:pPr>
      <w:r>
        <w:rPr>
          <w:rFonts w:ascii="Times New Roman" w:hAnsi="Times New Roman"/>
          <w:color w:val="1C1C1C"/>
        </w:rPr>
        <w:t xml:space="preserve">It is challenging to believe that the </w:t>
      </w:r>
      <w:r w:rsidRPr="005F7308">
        <w:rPr>
          <w:rFonts w:ascii="Times New Roman" w:hAnsi="Times New Roman"/>
          <w:i/>
          <w:color w:val="1C1C1C"/>
        </w:rPr>
        <w:t>Friends</w:t>
      </w:r>
      <w:r>
        <w:rPr>
          <w:rFonts w:ascii="Times New Roman" w:hAnsi="Times New Roman"/>
          <w:color w:val="1C1C1C"/>
        </w:rPr>
        <w:t xml:space="preserve"> court </w:t>
      </w:r>
      <w:r w:rsidR="00EE32A2">
        <w:rPr>
          <w:rFonts w:ascii="Times New Roman" w:hAnsi="Times New Roman"/>
          <w:color w:val="1C1C1C"/>
        </w:rPr>
        <w:t>understand this analysis if it had not looked to other portions of the record</w:t>
      </w:r>
      <w:r>
        <w:rPr>
          <w:rFonts w:ascii="Times New Roman" w:hAnsi="Times New Roman"/>
          <w:color w:val="1C1C1C"/>
        </w:rPr>
        <w:t xml:space="preserve"> for context</w:t>
      </w:r>
      <w:r w:rsidR="00EE32A2">
        <w:rPr>
          <w:rFonts w:ascii="Times New Roman" w:hAnsi="Times New Roman"/>
          <w:color w:val="1C1C1C"/>
        </w:rPr>
        <w:t xml:space="preserve">, specifically, Table 9 and Appendix D. </w:t>
      </w:r>
    </w:p>
    <w:p w14:paraId="0D1D22BC" w14:textId="0306774B" w:rsidR="00D54B46" w:rsidRDefault="00C02411" w:rsidP="00D95695">
      <w:pPr>
        <w:widowControl w:val="0"/>
        <w:autoSpaceDE w:val="0"/>
        <w:autoSpaceDN w:val="0"/>
        <w:adjustRightInd w:val="0"/>
        <w:spacing w:line="360" w:lineRule="auto"/>
        <w:rPr>
          <w:rFonts w:ascii="Times New Roman" w:hAnsi="Times New Roman"/>
          <w:color w:val="1C1C1C"/>
        </w:rPr>
      </w:pPr>
      <w:r>
        <w:rPr>
          <w:rFonts w:ascii="Times New Roman" w:hAnsi="Times New Roman"/>
          <w:color w:val="1C1C1C"/>
        </w:rPr>
        <w:tab/>
      </w:r>
      <w:r w:rsidR="00855EA1">
        <w:rPr>
          <w:rFonts w:ascii="Times New Roman" w:hAnsi="Times New Roman"/>
        </w:rPr>
        <w:t>On page sixty-two of the EA t</w:t>
      </w:r>
      <w:r w:rsidR="00D54B46">
        <w:rPr>
          <w:rFonts w:ascii="Times New Roman" w:hAnsi="Times New Roman"/>
        </w:rPr>
        <w:t>he F</w:t>
      </w:r>
      <w:r>
        <w:rPr>
          <w:rFonts w:ascii="Times New Roman" w:hAnsi="Times New Roman"/>
        </w:rPr>
        <w:t>orest Service explicitly states</w:t>
      </w:r>
      <w:r w:rsidR="00855EA1">
        <w:rPr>
          <w:rFonts w:ascii="Times New Roman" w:hAnsi="Times New Roman"/>
        </w:rPr>
        <w:t xml:space="preserve"> a</w:t>
      </w:r>
      <w:r w:rsidR="00D54B46">
        <w:rPr>
          <w:rFonts w:ascii="Times New Roman" w:hAnsi="Times New Roman"/>
        </w:rPr>
        <w:t xml:space="preserve"> </w:t>
      </w:r>
      <w:r w:rsidR="00855EA1">
        <w:rPr>
          <w:rFonts w:ascii="Times New Roman" w:hAnsi="Times New Roman"/>
        </w:rPr>
        <w:t>“</w:t>
      </w:r>
      <w:r w:rsidR="00D54B46">
        <w:rPr>
          <w:rFonts w:ascii="Times New Roman" w:hAnsi="Times New Roman"/>
        </w:rPr>
        <w:t xml:space="preserve">list </w:t>
      </w:r>
      <w:r w:rsidR="00855EA1">
        <w:rPr>
          <w:rFonts w:ascii="Times New Roman" w:hAnsi="Times New Roman"/>
        </w:rPr>
        <w:t>of past and present activities” is</w:t>
      </w:r>
      <w:r w:rsidR="00D54B46">
        <w:rPr>
          <w:rFonts w:ascii="Times New Roman" w:hAnsi="Times New Roman"/>
        </w:rPr>
        <w:t xml:space="preserve"> </w:t>
      </w:r>
      <w:r w:rsidR="00855EA1">
        <w:rPr>
          <w:rFonts w:ascii="Times New Roman" w:hAnsi="Times New Roman"/>
        </w:rPr>
        <w:t>“</w:t>
      </w:r>
      <w:r w:rsidR="00D54B46">
        <w:rPr>
          <w:rFonts w:ascii="Times New Roman" w:hAnsi="Times New Roman"/>
        </w:rPr>
        <w:t>provided in Appendix D.”</w:t>
      </w:r>
      <w:r w:rsidR="00D54B46">
        <w:rPr>
          <w:rStyle w:val="FootnoteReference"/>
          <w:rFonts w:ascii="Times New Roman" w:hAnsi="Times New Roman"/>
        </w:rPr>
        <w:footnoteReference w:id="161"/>
      </w:r>
      <w:r w:rsidR="00D54B46">
        <w:rPr>
          <w:rFonts w:ascii="Times New Roman" w:hAnsi="Times New Roman"/>
        </w:rPr>
        <w:t xml:space="preserve"> </w:t>
      </w:r>
      <w:r w:rsidR="00855EA1">
        <w:rPr>
          <w:rFonts w:ascii="Times New Roman" w:hAnsi="Times New Roman"/>
        </w:rPr>
        <w:t>There, Table D-1 indicates</w:t>
      </w:r>
      <w:r w:rsidR="00D54B46">
        <w:rPr>
          <w:rFonts w:ascii="Times New Roman" w:hAnsi="Times New Roman"/>
        </w:rPr>
        <w:t xml:space="preserve"> the past activities considered in the cumulative effects analysis.</w:t>
      </w:r>
      <w:r w:rsidR="00D54B46">
        <w:rPr>
          <w:rStyle w:val="FootnoteReference"/>
          <w:rFonts w:ascii="Times New Roman" w:hAnsi="Times New Roman"/>
        </w:rPr>
        <w:footnoteReference w:id="162"/>
      </w:r>
      <w:r w:rsidR="00D54B46">
        <w:rPr>
          <w:rFonts w:ascii="Times New Roman" w:hAnsi="Times New Roman"/>
        </w:rPr>
        <w:t xml:space="preserve"> </w:t>
      </w:r>
      <w:r w:rsidR="00D54B46">
        <w:rPr>
          <w:rFonts w:ascii="Times New Roman" w:hAnsi="Times New Roman"/>
          <w:color w:val="1C1C1C"/>
        </w:rPr>
        <w:t>It describes over eighteen activities with the potential to cumulatively affect the project.</w:t>
      </w:r>
      <w:r w:rsidR="00D54B46">
        <w:rPr>
          <w:rStyle w:val="FootnoteReference"/>
          <w:rFonts w:ascii="Times New Roman" w:hAnsi="Times New Roman"/>
          <w:color w:val="1C1C1C"/>
        </w:rPr>
        <w:footnoteReference w:id="163"/>
      </w:r>
      <w:r w:rsidR="00D54B46">
        <w:rPr>
          <w:rFonts w:ascii="Times New Roman" w:hAnsi="Times New Roman"/>
          <w:color w:val="1C1C1C"/>
        </w:rPr>
        <w:t xml:space="preserve"> Most </w:t>
      </w:r>
      <w:r w:rsidR="00855EA1">
        <w:rPr>
          <w:rFonts w:ascii="Times New Roman" w:hAnsi="Times New Roman"/>
          <w:color w:val="1C1C1C"/>
        </w:rPr>
        <w:t>relevant for the cumulative effect of past projects on lynx analysis are</w:t>
      </w:r>
      <w:r w:rsidR="00D54B46">
        <w:rPr>
          <w:rFonts w:ascii="Times New Roman" w:hAnsi="Times New Roman"/>
          <w:color w:val="1C1C1C"/>
        </w:rPr>
        <w:t xml:space="preserve"> the “Timber Harvest” and the “Land Exchange” categories.</w:t>
      </w:r>
      <w:r w:rsidR="00D54B46">
        <w:rPr>
          <w:rStyle w:val="FootnoteReference"/>
          <w:rFonts w:ascii="Times New Roman" w:hAnsi="Times New Roman"/>
          <w:color w:val="1C1C1C"/>
        </w:rPr>
        <w:footnoteReference w:id="164"/>
      </w:r>
      <w:r w:rsidR="00D54B46">
        <w:rPr>
          <w:rFonts w:ascii="Times New Roman" w:hAnsi="Times New Roman"/>
          <w:color w:val="1C1C1C"/>
        </w:rPr>
        <w:t xml:space="preserve"> The Timber Harvest category refers the reader to Tables D-2, and D-3 that document the acreage of three harvest types and site preparation activities that have occurred on federal land in the project area reaching 70 years into the past.</w:t>
      </w:r>
      <w:r w:rsidR="00D54B46">
        <w:rPr>
          <w:rStyle w:val="FootnoteReference"/>
          <w:rFonts w:ascii="Times New Roman" w:hAnsi="Times New Roman"/>
          <w:color w:val="1C1C1C"/>
        </w:rPr>
        <w:footnoteReference w:id="165"/>
      </w:r>
      <w:r w:rsidR="00D54B46">
        <w:rPr>
          <w:rFonts w:ascii="Times New Roman" w:hAnsi="Times New Roman"/>
          <w:color w:val="1C1C1C"/>
        </w:rPr>
        <w:t xml:space="preserve"> The Land </w:t>
      </w:r>
      <w:r w:rsidR="00855EA1">
        <w:rPr>
          <w:rFonts w:ascii="Times New Roman" w:hAnsi="Times New Roman"/>
          <w:color w:val="1C1C1C"/>
        </w:rPr>
        <w:t>Exchange category documents how</w:t>
      </w:r>
      <w:r w:rsidR="00D54B46">
        <w:rPr>
          <w:rFonts w:ascii="Times New Roman" w:hAnsi="Times New Roman"/>
          <w:color w:val="1C1C1C"/>
        </w:rPr>
        <w:t xml:space="preserve"> the Forest Service has recently acquired approximately 640 acres of land within the project area from Plum Creek Timber Company (PCTC) whose past management activities created a large amount of “early successional stage” timber.</w:t>
      </w:r>
      <w:r w:rsidR="00D54B46">
        <w:rPr>
          <w:rStyle w:val="FootnoteReference"/>
          <w:rFonts w:ascii="Times New Roman" w:hAnsi="Times New Roman"/>
          <w:color w:val="1C1C1C"/>
        </w:rPr>
        <w:footnoteReference w:id="166"/>
      </w:r>
      <w:r w:rsidR="00D54B46">
        <w:rPr>
          <w:rFonts w:ascii="Times New Roman" w:hAnsi="Times New Roman"/>
          <w:color w:val="1C1C1C"/>
        </w:rPr>
        <w:t xml:space="preserve"> It notes there that the PCTC land comprises less than 15% of the project area.</w:t>
      </w:r>
      <w:r w:rsidR="00D54B46">
        <w:rPr>
          <w:rStyle w:val="FootnoteReference"/>
          <w:rFonts w:ascii="Times New Roman" w:hAnsi="Times New Roman"/>
          <w:color w:val="1C1C1C"/>
        </w:rPr>
        <w:footnoteReference w:id="167"/>
      </w:r>
    </w:p>
    <w:p w14:paraId="31CA3A00" w14:textId="71FE4C22" w:rsidR="00D54B46" w:rsidRDefault="00855EA1" w:rsidP="00D95695">
      <w:pPr>
        <w:widowControl w:val="0"/>
        <w:autoSpaceDE w:val="0"/>
        <w:autoSpaceDN w:val="0"/>
        <w:adjustRightInd w:val="0"/>
        <w:spacing w:line="360" w:lineRule="auto"/>
        <w:rPr>
          <w:rFonts w:ascii="Times New Roman" w:hAnsi="Times New Roman"/>
        </w:rPr>
      </w:pPr>
      <w:r>
        <w:rPr>
          <w:rFonts w:ascii="Times New Roman" w:hAnsi="Times New Roman"/>
          <w:color w:val="1C1C1C"/>
        </w:rPr>
        <w:tab/>
        <w:t xml:space="preserve">Next, </w:t>
      </w:r>
      <w:r w:rsidR="00D54B46">
        <w:rPr>
          <w:rFonts w:ascii="Times New Roman" w:hAnsi="Times New Roman"/>
          <w:color w:val="1C1C1C"/>
        </w:rPr>
        <w:t>t</w:t>
      </w:r>
      <w:r w:rsidR="00D54B46">
        <w:rPr>
          <w:rFonts w:ascii="Times New Roman" w:hAnsi="Times New Roman"/>
        </w:rPr>
        <w:t>he portion of Chapter 3 devoted specifically to</w:t>
      </w:r>
      <w:r w:rsidR="00D54B46">
        <w:rPr>
          <w:rFonts w:ascii="Times New Roman" w:hAnsi="Times New Roman"/>
          <w:color w:val="1C1C1C"/>
        </w:rPr>
        <w:t xml:space="preserve"> analysis of the direct, indirect and cumulative effects on lynx – 3.6.4 Alternative B Proposed Action – begins by noting that vegetation management will occur on 7% of the Clearwater Lynx Analysis Unit (LAU).</w:t>
      </w:r>
      <w:r w:rsidR="00D54B46">
        <w:rPr>
          <w:rStyle w:val="FootnoteReference"/>
          <w:rFonts w:ascii="Times New Roman" w:hAnsi="Times New Roman"/>
          <w:color w:val="1C1C1C"/>
        </w:rPr>
        <w:footnoteReference w:id="168"/>
      </w:r>
      <w:r w:rsidR="00D54B46">
        <w:rPr>
          <w:rFonts w:ascii="Times New Roman" w:hAnsi="Times New Roman"/>
          <w:color w:val="1C1C1C"/>
        </w:rPr>
        <w:t xml:space="preserve"> The section then indicates, “</w:t>
      </w:r>
      <w:r w:rsidR="00D54B46">
        <w:rPr>
          <w:rFonts w:ascii="Times New Roman" w:hAnsi="Times New Roman"/>
        </w:rPr>
        <w:t>Existing conditions for lynx within the Clearwater LAU are within accepted tolerance ranges as described in the Lynx Amendment and meet all lynx management standards and guidelines (“Table 9”).”</w:t>
      </w:r>
      <w:r w:rsidR="00D54B46">
        <w:rPr>
          <w:rStyle w:val="FootnoteReference"/>
          <w:rFonts w:ascii="Times New Roman" w:hAnsi="Times New Roman"/>
        </w:rPr>
        <w:footnoteReference w:id="169"/>
      </w:r>
      <w:r w:rsidR="00D54B46">
        <w:rPr>
          <w:rFonts w:ascii="Times New Roman" w:hAnsi="Times New Roman"/>
        </w:rPr>
        <w:t xml:space="preserve"> Table 9 shows that the impact from the project is negligible in comparison to the acceptable ranges established by the Lynx Amendment.</w:t>
      </w:r>
      <w:r w:rsidR="00D54B46">
        <w:rPr>
          <w:rStyle w:val="FootnoteReference"/>
          <w:rFonts w:ascii="Times New Roman" w:hAnsi="Times New Roman"/>
        </w:rPr>
        <w:footnoteReference w:id="170"/>
      </w:r>
      <w:r w:rsidR="00D54B46">
        <w:rPr>
          <w:rFonts w:ascii="Times New Roman" w:hAnsi="Times New Roman"/>
        </w:rPr>
        <w:t xml:space="preserve"> More importantly, Table 9 demonstrates that the Forest Service analyzed the contributions of past actions to the existing conditions and how the proposed project would cumulatively effect those conditions.</w:t>
      </w:r>
      <w:r w:rsidR="00D54B46">
        <w:rPr>
          <w:rStyle w:val="FootnoteReference"/>
          <w:rFonts w:ascii="Times New Roman" w:hAnsi="Times New Roman"/>
        </w:rPr>
        <w:footnoteReference w:id="171"/>
      </w:r>
    </w:p>
    <w:p w14:paraId="6AFA168D" w14:textId="43BBAFFC" w:rsidR="00D54B46" w:rsidRPr="00855EA1" w:rsidRDefault="00D54B46" w:rsidP="00D95695">
      <w:pPr>
        <w:widowControl w:val="0"/>
        <w:autoSpaceDE w:val="0"/>
        <w:autoSpaceDN w:val="0"/>
        <w:adjustRightInd w:val="0"/>
        <w:spacing w:line="360" w:lineRule="auto"/>
        <w:rPr>
          <w:rFonts w:ascii="Times New Roman" w:hAnsi="Times New Roman"/>
        </w:rPr>
      </w:pPr>
      <w:r>
        <w:rPr>
          <w:rFonts w:ascii="Times New Roman" w:hAnsi="Times New Roman"/>
        </w:rPr>
        <w:tab/>
        <w:t>The detailed information and analysis contained in Appendix D, and Table 9, reveals that the Forest Service did provide a “discussion of past projects or activities” that the court explicitly claims it did not.</w:t>
      </w:r>
      <w:r>
        <w:rPr>
          <w:rStyle w:val="FootnoteReference"/>
          <w:rFonts w:ascii="Times New Roman" w:hAnsi="Times New Roman"/>
        </w:rPr>
        <w:footnoteReference w:id="172"/>
      </w:r>
      <w:r>
        <w:rPr>
          <w:rFonts w:ascii="Times New Roman" w:hAnsi="Times New Roman"/>
        </w:rPr>
        <w:t xml:space="preserve"> It is also apparent that the Forest Service did so by aggregating the existing conditions of past actions in concert with the proposed project.</w:t>
      </w:r>
      <w:r>
        <w:rPr>
          <w:rStyle w:val="FootnoteReference"/>
          <w:rFonts w:ascii="Times New Roman" w:hAnsi="Times New Roman"/>
        </w:rPr>
        <w:footnoteReference w:id="173"/>
      </w:r>
      <w:r>
        <w:rPr>
          <w:rFonts w:ascii="Times New Roman" w:hAnsi="Times New Roman"/>
        </w:rPr>
        <w:t xml:space="preserve"> Given such a wealth of detailed information and analysis specifically regarding the cumulative effects of past projects on lynx, it is evident the court did not look beyond the narrow section of the EA that “characterize[s] the cumulative effects of past actions [on lynx] in the aggregate.”</w:t>
      </w:r>
      <w:r>
        <w:rPr>
          <w:rStyle w:val="FootnoteReference"/>
          <w:rFonts w:ascii="Times New Roman" w:hAnsi="Times New Roman"/>
        </w:rPr>
        <w:footnoteReference w:id="174"/>
      </w:r>
      <w:r>
        <w:rPr>
          <w:rFonts w:ascii="Times New Roman" w:hAnsi="Times New Roman"/>
        </w:rPr>
        <w:t xml:space="preserve"> The court’s opinion explicitly asserts that the Forest Service did not do this.</w:t>
      </w:r>
      <w:r>
        <w:rPr>
          <w:rStyle w:val="FootnoteReference"/>
          <w:rFonts w:ascii="Times New Roman" w:hAnsi="Times New Roman"/>
        </w:rPr>
        <w:footnoteReference w:id="175"/>
      </w:r>
      <w:r>
        <w:rPr>
          <w:rFonts w:ascii="Times New Roman" w:hAnsi="Times New Roman"/>
        </w:rPr>
        <w:t xml:space="preserve"> The “other parts” of the record, however, contradict that assertion.</w:t>
      </w:r>
      <w:r>
        <w:rPr>
          <w:rStyle w:val="FootnoteReference"/>
          <w:rFonts w:ascii="Times New Roman" w:hAnsi="Times New Roman"/>
        </w:rPr>
        <w:footnoteReference w:id="176"/>
      </w:r>
      <w:r>
        <w:rPr>
          <w:rFonts w:ascii="Times New Roman" w:hAnsi="Times New Roman"/>
        </w:rPr>
        <w:t xml:space="preserve"> </w:t>
      </w:r>
    </w:p>
    <w:p w14:paraId="6FB99099" w14:textId="29FAE051" w:rsidR="00EE32A2" w:rsidRDefault="00EE32A2" w:rsidP="00D95695">
      <w:pPr>
        <w:widowControl w:val="0"/>
        <w:autoSpaceDE w:val="0"/>
        <w:autoSpaceDN w:val="0"/>
        <w:adjustRightInd w:val="0"/>
        <w:spacing w:line="360" w:lineRule="auto"/>
        <w:rPr>
          <w:rFonts w:ascii="Times New Roman" w:hAnsi="Times New Roman"/>
          <w:color w:val="1C1C1C"/>
        </w:rPr>
      </w:pPr>
      <w:r>
        <w:rPr>
          <w:rFonts w:ascii="Times New Roman" w:hAnsi="Times New Roman"/>
          <w:color w:val="1C1C1C"/>
        </w:rPr>
        <w:tab/>
      </w:r>
      <w:r w:rsidR="00855EA1">
        <w:rPr>
          <w:rFonts w:ascii="Times New Roman" w:hAnsi="Times New Roman"/>
          <w:color w:val="1C1C1C"/>
        </w:rPr>
        <w:t>Finally, i</w:t>
      </w:r>
      <w:r>
        <w:rPr>
          <w:rFonts w:ascii="Times New Roman" w:hAnsi="Times New Roman"/>
          <w:color w:val="1C1C1C"/>
        </w:rPr>
        <w:t>f the court had reviewed the entire record in light of the three-step</w:t>
      </w:r>
      <w:r w:rsidR="00855EA1">
        <w:rPr>
          <w:rFonts w:ascii="Times New Roman" w:hAnsi="Times New Roman"/>
          <w:color w:val="1C1C1C"/>
        </w:rPr>
        <w:t xml:space="preserve"> guidelines announced in CELP to help a court determine if an agency’s aggregate cumulative effects analysis is adequate,</w:t>
      </w:r>
      <w:r>
        <w:rPr>
          <w:rFonts w:ascii="Times New Roman" w:hAnsi="Times New Roman"/>
          <w:color w:val="1C1C1C"/>
        </w:rPr>
        <w:t xml:space="preserve"> it would have concluded that the Forest Service had committed no clear error that prevented it from taking a hard look at the cumulative effects of past actions on lynx.</w:t>
      </w:r>
      <w:r>
        <w:rPr>
          <w:rStyle w:val="FootnoteReference"/>
          <w:rFonts w:ascii="Times New Roman" w:hAnsi="Times New Roman"/>
          <w:color w:val="1C1C1C"/>
        </w:rPr>
        <w:footnoteReference w:id="177"/>
      </w:r>
      <w:r>
        <w:rPr>
          <w:rFonts w:ascii="Times New Roman" w:hAnsi="Times New Roman"/>
          <w:color w:val="1C1C1C"/>
        </w:rPr>
        <w:t xml:space="preserve"> P</w:t>
      </w:r>
      <w:r w:rsidR="00855EA1">
        <w:rPr>
          <w:rFonts w:ascii="Times New Roman" w:hAnsi="Times New Roman"/>
          <w:color w:val="1C1C1C"/>
        </w:rPr>
        <w:t>ursuant to the first guideline</w:t>
      </w:r>
      <w:r w:rsidR="00C7684F">
        <w:rPr>
          <w:rFonts w:ascii="Times New Roman" w:hAnsi="Times New Roman"/>
          <w:color w:val="1C1C1C"/>
        </w:rPr>
        <w:t>s</w:t>
      </w:r>
      <w:r>
        <w:rPr>
          <w:rFonts w:ascii="Times New Roman" w:hAnsi="Times New Roman"/>
          <w:color w:val="1C1C1C"/>
        </w:rPr>
        <w:t>,</w:t>
      </w:r>
      <w:r>
        <w:rPr>
          <w:rFonts w:ascii="Times New Roman" w:hAnsi="Times New Roman"/>
          <w:i/>
          <w:color w:val="1C1C1C"/>
        </w:rPr>
        <w:t xml:space="preserve"> </w:t>
      </w:r>
      <w:r w:rsidR="00C7684F">
        <w:rPr>
          <w:rFonts w:ascii="Times New Roman" w:hAnsi="Times New Roman"/>
          <w:color w:val="1C1C1C"/>
        </w:rPr>
        <w:t>the Forest Service</w:t>
      </w:r>
      <w:r>
        <w:rPr>
          <w:rFonts w:ascii="Times New Roman" w:hAnsi="Times New Roman"/>
          <w:color w:val="1C1C1C"/>
        </w:rPr>
        <w:t xml:space="preserve"> relied on quantified information in Table 9 and Appendix D to explain the existing condition of the land</w:t>
      </w:r>
      <w:r w:rsidR="00C7684F">
        <w:rPr>
          <w:rFonts w:ascii="Times New Roman" w:hAnsi="Times New Roman"/>
          <w:color w:val="1C1C1C"/>
        </w:rPr>
        <w:t>,</w:t>
      </w:r>
      <w:r>
        <w:rPr>
          <w:rFonts w:ascii="Times New Roman" w:hAnsi="Times New Roman"/>
          <w:color w:val="1C1C1C"/>
        </w:rPr>
        <w:t xml:space="preserve"> and the cumulative effect the</w:t>
      </w:r>
      <w:r w:rsidR="00C7684F">
        <w:rPr>
          <w:rFonts w:ascii="Times New Roman" w:hAnsi="Times New Roman"/>
          <w:color w:val="1C1C1C"/>
        </w:rPr>
        <w:t xml:space="preserve"> aggregated past projects</w:t>
      </w:r>
      <w:r>
        <w:rPr>
          <w:rFonts w:ascii="Times New Roman" w:hAnsi="Times New Roman"/>
          <w:color w:val="1C1C1C"/>
        </w:rPr>
        <w:t xml:space="preserve"> would have</w:t>
      </w:r>
      <w:r w:rsidR="00C7684F">
        <w:rPr>
          <w:rFonts w:ascii="Times New Roman" w:hAnsi="Times New Roman"/>
          <w:color w:val="1C1C1C"/>
        </w:rPr>
        <w:t xml:space="preserve"> in conjunction with the current project, </w:t>
      </w:r>
      <w:r>
        <w:rPr>
          <w:rFonts w:ascii="Times New Roman" w:hAnsi="Times New Roman"/>
          <w:color w:val="1C1C1C"/>
        </w:rPr>
        <w:t>upon the existing condition.</w:t>
      </w:r>
      <w:r>
        <w:rPr>
          <w:rStyle w:val="FootnoteReference"/>
          <w:rFonts w:ascii="Times New Roman" w:hAnsi="Times New Roman"/>
          <w:color w:val="1C1C1C"/>
        </w:rPr>
        <w:footnoteReference w:id="178"/>
      </w:r>
      <w:r w:rsidR="00C7684F">
        <w:rPr>
          <w:rFonts w:ascii="Times New Roman" w:hAnsi="Times New Roman"/>
          <w:color w:val="1C1C1C"/>
        </w:rPr>
        <w:t xml:space="preserve"> The agency</w:t>
      </w:r>
      <w:r>
        <w:rPr>
          <w:rFonts w:ascii="Times New Roman" w:hAnsi="Times New Roman"/>
          <w:color w:val="1C1C1C"/>
        </w:rPr>
        <w:t xml:space="preserve"> mentions only the past projects necessary to characterize the cumulative impact of all past actions combined in order to assess the impact of the</w:t>
      </w:r>
      <w:r w:rsidR="00C7684F">
        <w:rPr>
          <w:rFonts w:ascii="Times New Roman" w:hAnsi="Times New Roman"/>
          <w:color w:val="1C1C1C"/>
        </w:rPr>
        <w:t xml:space="preserve"> project against the risk of those past</w:t>
      </w:r>
      <w:r>
        <w:rPr>
          <w:rFonts w:ascii="Times New Roman" w:hAnsi="Times New Roman"/>
          <w:color w:val="1C1C1C"/>
        </w:rPr>
        <w:t xml:space="preserve"> combined</w:t>
      </w:r>
      <w:r w:rsidR="00C7684F">
        <w:rPr>
          <w:rFonts w:ascii="Times New Roman" w:hAnsi="Times New Roman"/>
          <w:color w:val="1C1C1C"/>
        </w:rPr>
        <w:t xml:space="preserve"> projects</w:t>
      </w:r>
      <w:r>
        <w:rPr>
          <w:rFonts w:ascii="Times New Roman" w:hAnsi="Times New Roman"/>
          <w:color w:val="1C1C1C"/>
        </w:rPr>
        <w:t>.</w:t>
      </w:r>
      <w:r>
        <w:rPr>
          <w:rStyle w:val="FootnoteReference"/>
          <w:rFonts w:ascii="Times New Roman" w:hAnsi="Times New Roman"/>
          <w:color w:val="1C1C1C"/>
        </w:rPr>
        <w:footnoteReference w:id="179"/>
      </w:r>
      <w:r>
        <w:rPr>
          <w:rFonts w:ascii="Times New Roman" w:hAnsi="Times New Roman"/>
          <w:color w:val="1C1C1C"/>
        </w:rPr>
        <w:t xml:space="preserve"> </w:t>
      </w:r>
      <w:r w:rsidR="00C7684F">
        <w:rPr>
          <w:rFonts w:ascii="Times New Roman" w:hAnsi="Times New Roman"/>
          <w:color w:val="1C1C1C"/>
        </w:rPr>
        <w:t>And finally</w:t>
      </w:r>
      <w:r>
        <w:rPr>
          <w:rFonts w:ascii="Times New Roman" w:hAnsi="Times New Roman"/>
          <w:color w:val="1C1C1C"/>
        </w:rPr>
        <w:t>, the agency characterizes this information under the heading “Cumulative Effects on Lynx” to conclude that the project will not increase the risk to lynx.</w:t>
      </w:r>
      <w:r>
        <w:rPr>
          <w:rStyle w:val="FootnoteReference"/>
          <w:rFonts w:ascii="Times New Roman" w:hAnsi="Times New Roman"/>
          <w:color w:val="1C1C1C"/>
        </w:rPr>
        <w:footnoteReference w:id="180"/>
      </w:r>
      <w:r w:rsidR="00C7684F">
        <w:rPr>
          <w:rFonts w:ascii="Times New Roman" w:hAnsi="Times New Roman"/>
          <w:color w:val="1C1C1C"/>
        </w:rPr>
        <w:t xml:space="preserve"> More accurately; however, due to the </w:t>
      </w:r>
      <w:r w:rsidR="00C7684F">
        <w:rPr>
          <w:rFonts w:ascii="Times New Roman" w:hAnsi="Times New Roman"/>
        </w:rPr>
        <w:t>fully informed and well-considered process</w:t>
      </w:r>
      <w:r>
        <w:rPr>
          <w:rFonts w:ascii="Times New Roman" w:hAnsi="Times New Roman"/>
          <w:color w:val="1C1C1C"/>
        </w:rPr>
        <w:t xml:space="preserve"> the Forest Service </w:t>
      </w:r>
      <w:r w:rsidR="00C7684F">
        <w:rPr>
          <w:rFonts w:ascii="Times New Roman" w:hAnsi="Times New Roman"/>
          <w:color w:val="1C1C1C"/>
        </w:rPr>
        <w:t xml:space="preserve">is not remiss when it </w:t>
      </w:r>
      <w:r>
        <w:rPr>
          <w:rFonts w:ascii="Times New Roman" w:hAnsi="Times New Roman"/>
          <w:color w:val="1C1C1C"/>
        </w:rPr>
        <w:t xml:space="preserve">states that the proposed project may </w:t>
      </w:r>
      <w:r w:rsidR="00C7684F">
        <w:rPr>
          <w:rFonts w:ascii="Times New Roman" w:hAnsi="Times New Roman"/>
          <w:color w:val="1C1C1C"/>
        </w:rPr>
        <w:t xml:space="preserve">in fact </w:t>
      </w:r>
      <w:r>
        <w:rPr>
          <w:rFonts w:ascii="Times New Roman" w:hAnsi="Times New Roman"/>
          <w:color w:val="1C1C1C"/>
        </w:rPr>
        <w:t>have beneficial effects on lynx recovery.</w:t>
      </w:r>
      <w:r>
        <w:rPr>
          <w:rStyle w:val="FootnoteReference"/>
          <w:rFonts w:ascii="Times New Roman" w:hAnsi="Times New Roman"/>
          <w:color w:val="1C1C1C"/>
        </w:rPr>
        <w:footnoteReference w:id="181"/>
      </w:r>
    </w:p>
    <w:p w14:paraId="3CED334B" w14:textId="77777777" w:rsidR="00EE32A2" w:rsidRDefault="00EE32A2" w:rsidP="00D95695">
      <w:pPr>
        <w:widowControl w:val="0"/>
        <w:autoSpaceDE w:val="0"/>
        <w:autoSpaceDN w:val="0"/>
        <w:adjustRightInd w:val="0"/>
        <w:spacing w:line="360" w:lineRule="auto"/>
        <w:ind w:firstLine="288"/>
        <w:jc w:val="center"/>
        <w:rPr>
          <w:rFonts w:ascii="Times New Roman" w:hAnsi="Times New Roman"/>
          <w:color w:val="1C1C1C"/>
        </w:rPr>
      </w:pPr>
    </w:p>
    <w:p w14:paraId="72D5ABDF" w14:textId="77777777" w:rsidR="00EE32A2" w:rsidRDefault="00EE32A2" w:rsidP="00D95695">
      <w:pPr>
        <w:widowControl w:val="0"/>
        <w:autoSpaceDE w:val="0"/>
        <w:autoSpaceDN w:val="0"/>
        <w:adjustRightInd w:val="0"/>
        <w:spacing w:line="360" w:lineRule="auto"/>
        <w:ind w:firstLine="288"/>
        <w:jc w:val="center"/>
        <w:rPr>
          <w:rFonts w:ascii="Times New Roman" w:hAnsi="Times New Roman"/>
          <w:color w:val="1C1C1C"/>
        </w:rPr>
      </w:pPr>
      <w:r>
        <w:rPr>
          <w:rFonts w:ascii="Times New Roman" w:hAnsi="Times New Roman"/>
          <w:color w:val="1C1C1C"/>
        </w:rPr>
        <w:t>IV. CONCLUSION</w:t>
      </w:r>
    </w:p>
    <w:p w14:paraId="08393760" w14:textId="77777777" w:rsidR="00DE7DF2" w:rsidRDefault="00EE32A2" w:rsidP="00D95695">
      <w:pPr>
        <w:widowControl w:val="0"/>
        <w:autoSpaceDE w:val="0"/>
        <w:autoSpaceDN w:val="0"/>
        <w:adjustRightInd w:val="0"/>
        <w:spacing w:line="360" w:lineRule="auto"/>
        <w:rPr>
          <w:rFonts w:ascii="Times New Roman" w:hAnsi="Times New Roman"/>
          <w:color w:val="1C1C1C"/>
        </w:rPr>
      </w:pPr>
      <w:r>
        <w:rPr>
          <w:rFonts w:ascii="Times New Roman" w:hAnsi="Times New Roman"/>
          <w:color w:val="1C1C1C"/>
        </w:rPr>
        <w:tab/>
      </w:r>
    </w:p>
    <w:p w14:paraId="0A2F6BDF" w14:textId="145D3552" w:rsidR="00EE32A2" w:rsidRDefault="00DA2CC2" w:rsidP="00D95695">
      <w:pPr>
        <w:widowControl w:val="0"/>
        <w:autoSpaceDE w:val="0"/>
        <w:autoSpaceDN w:val="0"/>
        <w:adjustRightInd w:val="0"/>
        <w:spacing w:line="360" w:lineRule="auto"/>
        <w:rPr>
          <w:rFonts w:ascii="Times New Roman" w:hAnsi="Times New Roman"/>
          <w:color w:val="1C1C1C"/>
        </w:rPr>
      </w:pPr>
      <w:r>
        <w:rPr>
          <w:rFonts w:ascii="Times New Roman" w:hAnsi="Times New Roman"/>
          <w:color w:val="1C1C1C"/>
        </w:rPr>
        <w:tab/>
      </w:r>
      <w:r w:rsidR="00EE32A2">
        <w:rPr>
          <w:rFonts w:ascii="Times New Roman" w:hAnsi="Times New Roman"/>
          <w:color w:val="1C1C1C"/>
        </w:rPr>
        <w:t xml:space="preserve">The </w:t>
      </w:r>
      <w:r w:rsidR="00EE32A2">
        <w:rPr>
          <w:rFonts w:ascii="Times New Roman" w:hAnsi="Times New Roman"/>
          <w:i/>
          <w:color w:val="1C1C1C"/>
        </w:rPr>
        <w:t xml:space="preserve">Friends </w:t>
      </w:r>
      <w:r w:rsidR="005F7308">
        <w:rPr>
          <w:rFonts w:ascii="Times New Roman" w:hAnsi="Times New Roman"/>
          <w:color w:val="1C1C1C"/>
        </w:rPr>
        <w:t>court erred</w:t>
      </w:r>
      <w:r w:rsidR="00EE32A2">
        <w:rPr>
          <w:rFonts w:ascii="Times New Roman" w:hAnsi="Times New Roman"/>
          <w:color w:val="1C1C1C"/>
        </w:rPr>
        <w:t xml:space="preserve"> on three levels. First, </w:t>
      </w:r>
      <w:r w:rsidR="006E3E11" w:rsidRPr="004070F0">
        <w:rPr>
          <w:rFonts w:ascii="Times New Roman" w:hAnsi="Times New Roman"/>
          <w:i/>
          <w:color w:val="1C1C1C"/>
        </w:rPr>
        <w:t>Te-Moak</w:t>
      </w:r>
      <w:r w:rsidR="006E3E11">
        <w:rPr>
          <w:rFonts w:ascii="Times New Roman" w:hAnsi="Times New Roman"/>
          <w:color w:val="1C1C1C"/>
        </w:rPr>
        <w:t xml:space="preserve"> is distinguishable from the 9</w:t>
      </w:r>
      <w:r w:rsidR="006E3E11" w:rsidRPr="000F3FBB">
        <w:rPr>
          <w:rFonts w:ascii="Times New Roman" w:hAnsi="Times New Roman"/>
          <w:color w:val="1C1C1C"/>
          <w:vertAlign w:val="superscript"/>
        </w:rPr>
        <w:t>th</w:t>
      </w:r>
      <w:r w:rsidR="006E3E11">
        <w:rPr>
          <w:rFonts w:ascii="Times New Roman" w:hAnsi="Times New Roman"/>
          <w:color w:val="1C1C1C"/>
        </w:rPr>
        <w:t xml:space="preserve"> Circuit’s cumulative effect of past projects precedent because, unlike </w:t>
      </w:r>
      <w:r w:rsidR="006E3E11" w:rsidRPr="001E344A">
        <w:rPr>
          <w:rFonts w:ascii="Times New Roman" w:hAnsi="Times New Roman"/>
          <w:i/>
          <w:color w:val="1C1C1C"/>
        </w:rPr>
        <w:t>CELP</w:t>
      </w:r>
      <w:r w:rsidR="006E3E11">
        <w:rPr>
          <w:rFonts w:ascii="Times New Roman" w:hAnsi="Times New Roman"/>
          <w:color w:val="1C1C1C"/>
        </w:rPr>
        <w:t xml:space="preserve">, </w:t>
      </w:r>
      <w:r w:rsidR="006E3E11" w:rsidRPr="001E344A">
        <w:rPr>
          <w:rFonts w:ascii="Times New Roman" w:hAnsi="Times New Roman"/>
          <w:i/>
          <w:color w:val="1C1C1C"/>
        </w:rPr>
        <w:t>Te-Moak</w:t>
      </w:r>
      <w:r w:rsidR="006E3E11">
        <w:rPr>
          <w:rFonts w:ascii="Times New Roman" w:hAnsi="Times New Roman"/>
          <w:color w:val="1C1C1C"/>
        </w:rPr>
        <w:t xml:space="preserve"> considers the cumulative impact of </w:t>
      </w:r>
      <w:r w:rsidR="006E3E11">
        <w:rPr>
          <w:rFonts w:ascii="Times New Roman" w:hAnsi="Times New Roman"/>
          <w:i/>
          <w:color w:val="1C1C1C"/>
        </w:rPr>
        <w:t>foreseeable</w:t>
      </w:r>
      <w:r w:rsidR="006E3E11">
        <w:rPr>
          <w:rFonts w:ascii="Times New Roman" w:hAnsi="Times New Roman"/>
          <w:color w:val="1C1C1C"/>
        </w:rPr>
        <w:t xml:space="preserve">, rather than </w:t>
      </w:r>
      <w:r w:rsidR="006E3E11">
        <w:rPr>
          <w:rFonts w:ascii="Times New Roman" w:hAnsi="Times New Roman"/>
          <w:i/>
          <w:color w:val="1C1C1C"/>
        </w:rPr>
        <w:t>past</w:t>
      </w:r>
      <w:r w:rsidR="006E3E11">
        <w:rPr>
          <w:rFonts w:ascii="Times New Roman" w:hAnsi="Times New Roman"/>
          <w:color w:val="1C1C1C"/>
        </w:rPr>
        <w:t xml:space="preserve"> actions.</w:t>
      </w:r>
      <w:r w:rsidR="00EE32A2">
        <w:rPr>
          <w:rStyle w:val="FootnoteReference"/>
          <w:rFonts w:ascii="Times New Roman" w:hAnsi="Times New Roman"/>
          <w:color w:val="1C1C1C"/>
        </w:rPr>
        <w:footnoteReference w:id="182"/>
      </w:r>
      <w:r w:rsidR="00EE32A2">
        <w:rPr>
          <w:rFonts w:ascii="Times New Roman" w:hAnsi="Times New Roman"/>
          <w:color w:val="1C1C1C"/>
        </w:rPr>
        <w:t xml:space="preserve"> Second, </w:t>
      </w:r>
      <w:r w:rsidR="006E3E11">
        <w:rPr>
          <w:rFonts w:ascii="Times New Roman" w:hAnsi="Times New Roman"/>
          <w:color w:val="1C1C1C"/>
        </w:rPr>
        <w:t xml:space="preserve">choosing to follow </w:t>
      </w:r>
      <w:r w:rsidR="006E3E11" w:rsidRPr="006B18FC">
        <w:rPr>
          <w:rFonts w:ascii="Times New Roman" w:hAnsi="Times New Roman"/>
          <w:i/>
          <w:color w:val="1C1C1C"/>
        </w:rPr>
        <w:t>Te-Moak</w:t>
      </w:r>
      <w:r w:rsidR="006E3E11">
        <w:rPr>
          <w:rFonts w:ascii="Times New Roman" w:hAnsi="Times New Roman"/>
          <w:color w:val="1C1C1C"/>
        </w:rPr>
        <w:t xml:space="preserve"> blinded the court to the fact that it must look to the whole record when determining if an agency has sufficiently analyzed the cumulative effect of past projects as required by </w:t>
      </w:r>
      <w:r w:rsidR="006E3E11" w:rsidRPr="006E3E11">
        <w:rPr>
          <w:rFonts w:ascii="Times New Roman" w:hAnsi="Times New Roman"/>
          <w:i/>
          <w:color w:val="1C1C1C"/>
        </w:rPr>
        <w:t>CELP</w:t>
      </w:r>
      <w:r w:rsidR="006E3E11">
        <w:rPr>
          <w:rFonts w:ascii="Times New Roman" w:hAnsi="Times New Roman"/>
          <w:color w:val="1C1C1C"/>
        </w:rPr>
        <w:t>.</w:t>
      </w:r>
      <w:r w:rsidR="006E3E11">
        <w:rPr>
          <w:rStyle w:val="FootnoteReference"/>
          <w:rFonts w:ascii="Times New Roman" w:hAnsi="Times New Roman"/>
          <w:color w:val="1C1C1C"/>
        </w:rPr>
        <w:footnoteReference w:id="183"/>
      </w:r>
      <w:r w:rsidR="006E3E11">
        <w:rPr>
          <w:rFonts w:ascii="Times New Roman" w:hAnsi="Times New Roman"/>
          <w:color w:val="1C1C1C"/>
        </w:rPr>
        <w:t xml:space="preserve"> Finally, failing to look to the whole record compromised the court’s ability to understand the Forest Service’s characterization of its aggregate analysis of the cumulative effects of past actions on lynx. </w:t>
      </w:r>
      <w:r w:rsidR="00EE32A2">
        <w:rPr>
          <w:rFonts w:ascii="Times New Roman" w:hAnsi="Times New Roman"/>
          <w:color w:val="1C1C1C"/>
        </w:rPr>
        <w:t xml:space="preserve">If the court followed </w:t>
      </w:r>
      <w:r w:rsidR="00EE32A2">
        <w:rPr>
          <w:rFonts w:ascii="Times New Roman" w:hAnsi="Times New Roman"/>
          <w:i/>
          <w:color w:val="1C1C1C"/>
        </w:rPr>
        <w:t>CELP</w:t>
      </w:r>
      <w:r w:rsidR="00EE32A2">
        <w:rPr>
          <w:rFonts w:ascii="Times New Roman" w:hAnsi="Times New Roman"/>
          <w:color w:val="1C1C1C"/>
        </w:rPr>
        <w:t>, it would have discovered that the Forest Service did in fact sufficiently characterize the cumulative effects of past actions on lynx.</w:t>
      </w:r>
      <w:r w:rsidR="00EE32A2">
        <w:rPr>
          <w:rStyle w:val="FootnoteReference"/>
          <w:rFonts w:ascii="Times New Roman" w:hAnsi="Times New Roman"/>
          <w:color w:val="1C1C1C"/>
        </w:rPr>
        <w:footnoteReference w:id="184"/>
      </w:r>
      <w:r w:rsidR="00EE32A2">
        <w:rPr>
          <w:rFonts w:ascii="Times New Roman" w:hAnsi="Times New Roman"/>
          <w:color w:val="1C1C1C"/>
        </w:rPr>
        <w:t xml:space="preserve"> </w:t>
      </w:r>
    </w:p>
    <w:p w14:paraId="584A062E" w14:textId="7B6F66AE" w:rsidR="00EE32A2" w:rsidRDefault="00EE32A2" w:rsidP="00D95695">
      <w:pPr>
        <w:widowControl w:val="0"/>
        <w:autoSpaceDE w:val="0"/>
        <w:autoSpaceDN w:val="0"/>
        <w:adjustRightInd w:val="0"/>
        <w:spacing w:line="360" w:lineRule="auto"/>
        <w:rPr>
          <w:rFonts w:ascii="Times New Roman" w:hAnsi="Times New Roman"/>
        </w:rPr>
      </w:pPr>
      <w:r>
        <w:rPr>
          <w:rFonts w:ascii="Times New Roman" w:hAnsi="Times New Roman"/>
          <w:color w:val="1C1C1C"/>
        </w:rPr>
        <w:tab/>
        <w:t xml:space="preserve">In the District Courts “view, </w:t>
      </w:r>
      <w:r>
        <w:rPr>
          <w:rFonts w:ascii="Times New Roman" w:hAnsi="Times New Roman"/>
        </w:rPr>
        <w:t>the [Forest] Service did not adequately analyze the Project's cumulative effects on lynx when it overlooked past projects or actions.”</w:t>
      </w:r>
      <w:r>
        <w:rPr>
          <w:rStyle w:val="FootnoteReference"/>
          <w:rFonts w:ascii="Times New Roman" w:hAnsi="Times New Roman"/>
        </w:rPr>
        <w:footnoteReference w:id="185"/>
      </w:r>
      <w:r>
        <w:rPr>
          <w:rFonts w:ascii="Times New Roman" w:hAnsi="Times New Roman"/>
        </w:rPr>
        <w:t xml:space="preserve"> It is reasonable to assume then, that 9</w:t>
      </w:r>
      <w:r>
        <w:rPr>
          <w:rFonts w:ascii="Times New Roman" w:hAnsi="Times New Roman"/>
          <w:vertAlign w:val="superscript"/>
        </w:rPr>
        <w:t>th</w:t>
      </w:r>
      <w:r>
        <w:rPr>
          <w:rFonts w:ascii="Times New Roman" w:hAnsi="Times New Roman"/>
        </w:rPr>
        <w:t xml:space="preserve"> Circuit will find this view a good place to begin its inquiry into whether or not the Forest service took the “hard look”</w:t>
      </w:r>
      <w:r>
        <w:rPr>
          <w:rStyle w:val="FootnoteReference"/>
          <w:rFonts w:ascii="Times New Roman" w:hAnsi="Times New Roman"/>
        </w:rPr>
        <w:footnoteReference w:id="186"/>
      </w:r>
      <w:r>
        <w:rPr>
          <w:rFonts w:ascii="Times New Roman" w:hAnsi="Times New Roman"/>
        </w:rPr>
        <w:t xml:space="preserve"> required to show that it did not decide “arbitrarily”</w:t>
      </w:r>
      <w:r>
        <w:rPr>
          <w:rStyle w:val="FootnoteReference"/>
          <w:rFonts w:ascii="Times New Roman" w:hAnsi="Times New Roman"/>
        </w:rPr>
        <w:footnoteReference w:id="187"/>
      </w:r>
      <w:r>
        <w:rPr>
          <w:rFonts w:ascii="Times New Roman" w:hAnsi="Times New Roman"/>
        </w:rPr>
        <w:t xml:space="preserve"> that the cumulative effects of past projects would not significantly impact the lynx. The court will not easily be led astray from it own precedent in </w:t>
      </w:r>
      <w:r>
        <w:rPr>
          <w:rFonts w:ascii="Times New Roman" w:hAnsi="Times New Roman"/>
          <w:i/>
        </w:rPr>
        <w:t xml:space="preserve">CELP. </w:t>
      </w:r>
      <w:r>
        <w:rPr>
          <w:rFonts w:ascii="Times New Roman" w:hAnsi="Times New Roman"/>
        </w:rPr>
        <w:t>There it will find what the District Court did not –</w:t>
      </w:r>
      <w:r w:rsidR="007050CC">
        <w:rPr>
          <w:rFonts w:ascii="Times New Roman" w:hAnsi="Times New Roman"/>
        </w:rPr>
        <w:t xml:space="preserve"> guidelines for determining the sufficiency of an agency aggregate cumulative effects analysis</w:t>
      </w:r>
      <w:r>
        <w:rPr>
          <w:rStyle w:val="FootnoteReference"/>
          <w:rFonts w:ascii="Times New Roman" w:hAnsi="Times New Roman"/>
          <w:color w:val="1C1C1C"/>
        </w:rPr>
        <w:footnoteReference w:id="188"/>
      </w:r>
      <w:r>
        <w:rPr>
          <w:rFonts w:ascii="Times New Roman" w:hAnsi="Times New Roman"/>
          <w:color w:val="1C1C1C"/>
        </w:rPr>
        <w:t xml:space="preserve"> </w:t>
      </w:r>
      <w:r w:rsidR="007050CC">
        <w:rPr>
          <w:rFonts w:ascii="Times New Roman" w:hAnsi="Times New Roman"/>
          <w:color w:val="1C1C1C"/>
        </w:rPr>
        <w:t>Looking to the whole record, then, the court will first ask, does the analysis explain both “the existing condition of the area” and “what the effects of the project would be”?</w:t>
      </w:r>
      <w:r w:rsidR="007050CC">
        <w:rPr>
          <w:rStyle w:val="FootnoteReference"/>
          <w:rFonts w:ascii="Times New Roman" w:hAnsi="Times New Roman"/>
          <w:color w:val="1C1C1C"/>
        </w:rPr>
        <w:footnoteReference w:id="189"/>
      </w:r>
      <w:r w:rsidR="007050CC">
        <w:rPr>
          <w:rFonts w:ascii="Times New Roman" w:hAnsi="Times New Roman"/>
          <w:color w:val="1C1C1C"/>
        </w:rPr>
        <w:t xml:space="preserve"> It may inquire if it discusses the past projects “necessary to describe the cumulative effect of all past actions combined”?</w:t>
      </w:r>
      <w:r w:rsidR="007050CC">
        <w:rPr>
          <w:rStyle w:val="FootnoteReference"/>
          <w:rFonts w:ascii="Times New Roman" w:hAnsi="Times New Roman"/>
          <w:color w:val="1C1C1C"/>
        </w:rPr>
        <w:footnoteReference w:id="190"/>
      </w:r>
      <w:r w:rsidR="007050CC">
        <w:rPr>
          <w:rFonts w:ascii="Times New Roman" w:hAnsi="Times New Roman"/>
          <w:color w:val="1C1C1C"/>
        </w:rPr>
        <w:t xml:space="preserve"> And finally, it should inquire whether the EA “rel[ies] on quantified or detailed in formation” to “assess the impact of the … project against the … aggregate of all past projects”?</w:t>
      </w:r>
      <w:r w:rsidR="007050CC">
        <w:rPr>
          <w:rStyle w:val="FootnoteReference"/>
          <w:rFonts w:ascii="Times New Roman" w:hAnsi="Times New Roman"/>
          <w:color w:val="1C1C1C"/>
        </w:rPr>
        <w:footnoteReference w:id="191"/>
      </w:r>
      <w:r w:rsidR="007050CC">
        <w:rPr>
          <w:rFonts w:ascii="Times New Roman" w:hAnsi="Times New Roman"/>
          <w:color w:val="1C1C1C"/>
        </w:rPr>
        <w:t xml:space="preserve"> </w:t>
      </w:r>
      <w:r>
        <w:rPr>
          <w:rFonts w:ascii="Times New Roman" w:hAnsi="Times New Roman"/>
          <w:color w:val="1C1C1C"/>
        </w:rPr>
        <w:t>Should the court do so, it will discover more than sufficient evidence in the record to determine that Forest Service sufficiently analyzed the cumulative effects of past projects on lynx, and that it is free to proceed with the Colt Summit Project.</w:t>
      </w:r>
      <w:r w:rsidR="007050CC">
        <w:rPr>
          <w:rFonts w:ascii="Times New Roman" w:hAnsi="Times New Roman"/>
          <w:color w:val="1C1C1C"/>
        </w:rPr>
        <w:t xml:space="preserve"> </w:t>
      </w:r>
    </w:p>
    <w:p w14:paraId="1D7B483E" w14:textId="44FF5661" w:rsidR="005F7308" w:rsidRDefault="005F7308" w:rsidP="00D95695">
      <w:pPr>
        <w:spacing w:line="360" w:lineRule="auto"/>
      </w:pPr>
    </w:p>
    <w:sectPr w:rsidR="005F7308" w:rsidSect="007744DE">
      <w:headerReference w:type="default" r:id="rId9"/>
      <w:footerReference w:type="even" r:id="rId10"/>
      <w:footerReference w:type="default" r:id="rId11"/>
      <w:pgSz w:w="12240" w:h="15840"/>
      <w:pgMar w:top="1440" w:right="1440" w:bottom="1440" w:left="1440" w:header="720" w:footer="864"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5A6B5E" w14:textId="77777777" w:rsidR="00765734" w:rsidRDefault="00765734" w:rsidP="00EE32A2">
      <w:r>
        <w:separator/>
      </w:r>
    </w:p>
  </w:endnote>
  <w:endnote w:type="continuationSeparator" w:id="0">
    <w:p w14:paraId="3001C896" w14:textId="77777777" w:rsidR="00765734" w:rsidRDefault="00765734" w:rsidP="00EE32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66083C" w14:textId="77777777" w:rsidR="006A12EE" w:rsidRDefault="006A12EE" w:rsidP="00681CD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B151226" w14:textId="77777777" w:rsidR="006A12EE" w:rsidRDefault="006A12EE" w:rsidP="006A12E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B79287" w14:textId="77777777" w:rsidR="006A12EE" w:rsidRDefault="006A12EE" w:rsidP="00681CD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47F17">
      <w:rPr>
        <w:rStyle w:val="PageNumber"/>
        <w:noProof/>
      </w:rPr>
      <w:t>1</w:t>
    </w:r>
    <w:r>
      <w:rPr>
        <w:rStyle w:val="PageNumber"/>
      </w:rPr>
      <w:fldChar w:fldCharType="end"/>
    </w:r>
  </w:p>
  <w:p w14:paraId="59D551FF" w14:textId="77777777" w:rsidR="006A12EE" w:rsidRDefault="006A12EE" w:rsidP="006A12EE">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3CD856" w14:textId="77777777" w:rsidR="00765734" w:rsidRDefault="00765734" w:rsidP="00EE32A2">
      <w:r>
        <w:separator/>
      </w:r>
    </w:p>
  </w:footnote>
  <w:footnote w:type="continuationSeparator" w:id="0">
    <w:p w14:paraId="20BB238E" w14:textId="77777777" w:rsidR="00765734" w:rsidRDefault="00765734" w:rsidP="00EE32A2">
      <w:r>
        <w:continuationSeparator/>
      </w:r>
    </w:p>
  </w:footnote>
  <w:footnote w:id="1">
    <w:p w14:paraId="4374C638" w14:textId="5B977D5D" w:rsidR="00765734" w:rsidRPr="00DE7DF2" w:rsidRDefault="00765734" w:rsidP="00EE32A2">
      <w:pPr>
        <w:widowControl w:val="0"/>
        <w:autoSpaceDE w:val="0"/>
        <w:autoSpaceDN w:val="0"/>
        <w:adjustRightInd w:val="0"/>
        <w:rPr>
          <w:rFonts w:ascii="Times New Roman" w:hAnsi="Times New Roman" w:cs="Times New Roman"/>
          <w:sz w:val="20"/>
          <w:szCs w:val="20"/>
        </w:rPr>
      </w:pPr>
      <w:r w:rsidRPr="00DE7DF2">
        <w:rPr>
          <w:rStyle w:val="FootnoteReference"/>
          <w:rFonts w:ascii="Times New Roman" w:hAnsi="Times New Roman" w:cs="Times New Roman"/>
          <w:sz w:val="20"/>
          <w:szCs w:val="20"/>
        </w:rPr>
        <w:footnoteRef/>
      </w:r>
      <w:r w:rsidRPr="00DE7DF2">
        <w:rPr>
          <w:rFonts w:ascii="Times New Roman" w:hAnsi="Times New Roman" w:cs="Times New Roman"/>
          <w:sz w:val="20"/>
          <w:szCs w:val="20"/>
        </w:rPr>
        <w:t xml:space="preserve"> 875 F.Supp.2d 1199 (2012) [Hereinafter FRIENDS]. What was originally Friends of the Wild Swan, et al.  v. Austin, et al.</w:t>
      </w:r>
      <w:r w:rsidRPr="00DE7DF2">
        <w:rPr>
          <w:rFonts w:ascii="Times New Roman" w:hAnsi="Times New Roman" w:cs="Times New Roman"/>
          <w:i/>
          <w:sz w:val="20"/>
          <w:szCs w:val="20"/>
        </w:rPr>
        <w:t xml:space="preserve">, </w:t>
      </w:r>
      <w:r w:rsidRPr="00DE7DF2">
        <w:rPr>
          <w:rFonts w:ascii="Times New Roman" w:hAnsi="Times New Roman" w:cs="Times New Roman"/>
          <w:sz w:val="20"/>
          <w:szCs w:val="20"/>
        </w:rPr>
        <w:t xml:space="preserve">875 F.Supp.2d 1199 (2012), will be contested in the Ninth Circuit </w:t>
      </w:r>
      <w:r w:rsidRPr="009162B3">
        <w:rPr>
          <w:rFonts w:ascii="Times New Roman" w:hAnsi="Times New Roman" w:cs="Times New Roman"/>
          <w:i/>
          <w:sz w:val="20"/>
          <w:szCs w:val="20"/>
        </w:rPr>
        <w:t>Court</w:t>
      </w:r>
      <w:r w:rsidRPr="00DE7DF2">
        <w:rPr>
          <w:rFonts w:ascii="Times New Roman" w:hAnsi="Times New Roman" w:cs="Times New Roman"/>
          <w:sz w:val="20"/>
          <w:szCs w:val="20"/>
        </w:rPr>
        <w:t xml:space="preserve"> of Appeals as Friends of the Wild Swan, et al. v. Garcia, et al., </w:t>
      </w:r>
      <w:r w:rsidRPr="00DE7DF2">
        <w:rPr>
          <w:rFonts w:ascii="Times New Roman" w:hAnsi="Times New Roman" w:cs="Times New Roman"/>
          <w:bCs/>
          <w:sz w:val="20"/>
          <w:szCs w:val="20"/>
        </w:rPr>
        <w:t>Docket</w:t>
      </w:r>
      <w:r w:rsidRPr="00DE7DF2">
        <w:rPr>
          <w:rFonts w:ascii="Times New Roman" w:hAnsi="Times New Roman" w:cs="Times New Roman"/>
          <w:b/>
          <w:bCs/>
          <w:sz w:val="20"/>
          <w:szCs w:val="20"/>
        </w:rPr>
        <w:t xml:space="preserve"> #: </w:t>
      </w:r>
      <w:r w:rsidRPr="00DE7DF2">
        <w:rPr>
          <w:rFonts w:ascii="Times New Roman" w:hAnsi="Times New Roman" w:cs="Times New Roman"/>
          <w:sz w:val="20"/>
          <w:szCs w:val="20"/>
        </w:rPr>
        <w:t xml:space="preserve">14-35463. Appellants opening brief was submitted on 10/08/2014. </w:t>
      </w:r>
      <w:r w:rsidRPr="00DE7DF2">
        <w:rPr>
          <w:rFonts w:ascii="Times New Roman" w:hAnsi="Times New Roman" w:cs="Times New Roman"/>
          <w:i/>
          <w:sz w:val="20"/>
          <w:szCs w:val="20"/>
        </w:rPr>
        <w:t xml:space="preserve">  </w:t>
      </w:r>
    </w:p>
  </w:footnote>
  <w:footnote w:id="2">
    <w:p w14:paraId="71E53A91" w14:textId="3A95632A" w:rsidR="00765734" w:rsidRPr="00DE7DF2" w:rsidRDefault="00765734" w:rsidP="00EE32A2">
      <w:pPr>
        <w:pStyle w:val="FootnoteText"/>
        <w:rPr>
          <w:rFonts w:ascii="Times New Roman" w:hAnsi="Times New Roman" w:cs="Times New Roman"/>
          <w:sz w:val="20"/>
          <w:szCs w:val="20"/>
        </w:rPr>
      </w:pPr>
      <w:r w:rsidRPr="00DE7DF2">
        <w:rPr>
          <w:rStyle w:val="FootnoteReference"/>
          <w:rFonts w:ascii="Times New Roman" w:hAnsi="Times New Roman" w:cs="Times New Roman"/>
          <w:sz w:val="20"/>
          <w:szCs w:val="20"/>
        </w:rPr>
        <w:footnoteRef/>
      </w:r>
      <w:r w:rsidRPr="00DE7DF2">
        <w:rPr>
          <w:rFonts w:ascii="Times New Roman" w:hAnsi="Times New Roman" w:cs="Times New Roman"/>
          <w:sz w:val="20"/>
          <w:szCs w:val="20"/>
        </w:rPr>
        <w:t xml:space="preserve"> The environmental advocacy groups are: Friends of the Wild Swan, a nonprofit organization; Alliance for the Wild Rockies a nonprofit organization; Montana Ecosystems Defense Council a nonprofit organization; and Native Ecosystems Council a nonprofit organization. </w:t>
      </w:r>
    </w:p>
  </w:footnote>
  <w:footnote w:id="3">
    <w:p w14:paraId="0204BFEB" w14:textId="08C48934" w:rsidR="00765734" w:rsidRPr="00DE7DF2" w:rsidRDefault="00765734" w:rsidP="00EE32A2">
      <w:pPr>
        <w:pStyle w:val="FootnoteText"/>
        <w:rPr>
          <w:rFonts w:ascii="Times New Roman" w:hAnsi="Times New Roman" w:cs="Times New Roman"/>
          <w:sz w:val="20"/>
          <w:szCs w:val="20"/>
        </w:rPr>
      </w:pPr>
      <w:r w:rsidRPr="00DE7DF2">
        <w:rPr>
          <w:rStyle w:val="FootnoteReference"/>
          <w:rFonts w:ascii="Times New Roman" w:hAnsi="Times New Roman" w:cs="Times New Roman"/>
          <w:sz w:val="20"/>
          <w:szCs w:val="20"/>
        </w:rPr>
        <w:footnoteRef/>
      </w:r>
      <w:r w:rsidRPr="00DE7DF2">
        <w:rPr>
          <w:rFonts w:ascii="Times New Roman" w:hAnsi="Times New Roman" w:cs="Times New Roman"/>
          <w:sz w:val="20"/>
          <w:szCs w:val="20"/>
        </w:rPr>
        <w:t xml:space="preserve"> 42 U.S.C. §§ 4321-4370 (1970).</w:t>
      </w:r>
    </w:p>
  </w:footnote>
  <w:footnote w:id="4">
    <w:p w14:paraId="322AB732" w14:textId="77777777" w:rsidR="00765734" w:rsidRPr="00DE7DF2" w:rsidRDefault="00765734" w:rsidP="00EE32A2">
      <w:pPr>
        <w:pStyle w:val="FootnoteText"/>
        <w:rPr>
          <w:rFonts w:ascii="Times New Roman" w:hAnsi="Times New Roman" w:cs="Times New Roman"/>
          <w:sz w:val="20"/>
          <w:szCs w:val="20"/>
        </w:rPr>
      </w:pPr>
      <w:r w:rsidRPr="00DE7DF2">
        <w:rPr>
          <w:rStyle w:val="FootnoteReference"/>
          <w:rFonts w:ascii="Times New Roman" w:hAnsi="Times New Roman" w:cs="Times New Roman"/>
          <w:sz w:val="20"/>
          <w:szCs w:val="20"/>
        </w:rPr>
        <w:footnoteRef/>
      </w:r>
      <w:r w:rsidRPr="00DE7DF2">
        <w:rPr>
          <w:rFonts w:ascii="Times New Roman" w:hAnsi="Times New Roman" w:cs="Times New Roman"/>
          <w:sz w:val="20"/>
          <w:szCs w:val="20"/>
        </w:rPr>
        <w:t xml:space="preserve"> 40 C.F.R. §§ 1501.3-1501.4 (1979).</w:t>
      </w:r>
    </w:p>
  </w:footnote>
  <w:footnote w:id="5">
    <w:p w14:paraId="3CE32157" w14:textId="77777777" w:rsidR="00765734" w:rsidRPr="00DE7DF2" w:rsidRDefault="00765734" w:rsidP="00D95695">
      <w:pPr>
        <w:pStyle w:val="FootnoteText"/>
        <w:rPr>
          <w:rFonts w:ascii="Times New Roman" w:hAnsi="Times New Roman" w:cs="Times New Roman"/>
          <w:sz w:val="20"/>
          <w:szCs w:val="20"/>
        </w:rPr>
      </w:pPr>
      <w:r w:rsidRPr="00DE7DF2">
        <w:rPr>
          <w:rStyle w:val="FootnoteReference"/>
          <w:rFonts w:ascii="Times New Roman" w:hAnsi="Times New Roman" w:cs="Times New Roman"/>
          <w:sz w:val="20"/>
          <w:szCs w:val="20"/>
        </w:rPr>
        <w:footnoteRef/>
      </w:r>
      <w:r w:rsidRPr="00DE7DF2">
        <w:rPr>
          <w:rFonts w:ascii="Times New Roman" w:hAnsi="Times New Roman" w:cs="Times New Roman"/>
          <w:sz w:val="20"/>
          <w:szCs w:val="20"/>
        </w:rPr>
        <w:t xml:space="preserve"> 16 U.S.C. §§ 1531-1544 (1973).</w:t>
      </w:r>
    </w:p>
  </w:footnote>
  <w:footnote w:id="6">
    <w:p w14:paraId="68A74B47" w14:textId="77777777" w:rsidR="00765734" w:rsidRPr="00DE7DF2" w:rsidRDefault="00765734" w:rsidP="00EE32A2">
      <w:pPr>
        <w:pStyle w:val="FootnoteText"/>
        <w:rPr>
          <w:rFonts w:ascii="Times New Roman" w:hAnsi="Times New Roman" w:cs="Times New Roman"/>
          <w:sz w:val="20"/>
          <w:szCs w:val="20"/>
        </w:rPr>
      </w:pPr>
      <w:r w:rsidRPr="00DE7DF2">
        <w:rPr>
          <w:rStyle w:val="FootnoteReference"/>
          <w:rFonts w:ascii="Times New Roman" w:hAnsi="Times New Roman" w:cs="Times New Roman"/>
          <w:sz w:val="20"/>
          <w:szCs w:val="20"/>
        </w:rPr>
        <w:footnoteRef/>
      </w:r>
      <w:r w:rsidRPr="00DE7DF2">
        <w:rPr>
          <w:rFonts w:ascii="Times New Roman" w:hAnsi="Times New Roman" w:cs="Times New Roman"/>
          <w:sz w:val="20"/>
          <w:szCs w:val="20"/>
        </w:rPr>
        <w:t xml:space="preserve"> </w:t>
      </w:r>
      <w:r w:rsidRPr="00DE7DF2">
        <w:rPr>
          <w:rFonts w:ascii="Times New Roman" w:hAnsi="Times New Roman" w:cs="Times New Roman"/>
          <w:i/>
          <w:sz w:val="20"/>
          <w:szCs w:val="20"/>
        </w:rPr>
        <w:t>See</w:t>
      </w:r>
      <w:r w:rsidRPr="00DE7DF2">
        <w:rPr>
          <w:rFonts w:ascii="Times New Roman" w:hAnsi="Times New Roman" w:cs="Times New Roman"/>
          <w:sz w:val="20"/>
          <w:szCs w:val="20"/>
        </w:rPr>
        <w:t xml:space="preserve"> FRIENDS at 1203.</w:t>
      </w:r>
    </w:p>
  </w:footnote>
  <w:footnote w:id="7">
    <w:p w14:paraId="74FFE068" w14:textId="77777777" w:rsidR="00765734" w:rsidRPr="00DE7DF2" w:rsidRDefault="00765734" w:rsidP="00EE32A2">
      <w:pPr>
        <w:pStyle w:val="FootnoteText"/>
        <w:rPr>
          <w:rFonts w:ascii="Times New Roman" w:hAnsi="Times New Roman" w:cs="Times New Roman"/>
          <w:sz w:val="20"/>
          <w:szCs w:val="20"/>
        </w:rPr>
      </w:pPr>
      <w:r w:rsidRPr="00DE7DF2">
        <w:rPr>
          <w:rStyle w:val="FootnoteReference"/>
          <w:rFonts w:ascii="Times New Roman" w:hAnsi="Times New Roman" w:cs="Times New Roman"/>
          <w:sz w:val="20"/>
          <w:szCs w:val="20"/>
        </w:rPr>
        <w:footnoteRef/>
      </w:r>
      <w:r w:rsidRPr="00DE7DF2">
        <w:rPr>
          <w:rFonts w:ascii="Times New Roman" w:hAnsi="Times New Roman" w:cs="Times New Roman"/>
          <w:sz w:val="20"/>
          <w:szCs w:val="20"/>
        </w:rPr>
        <w:t xml:space="preserve"> </w:t>
      </w:r>
      <w:r w:rsidRPr="00DE7DF2">
        <w:rPr>
          <w:rFonts w:ascii="Times New Roman" w:hAnsi="Times New Roman" w:cs="Times New Roman"/>
          <w:i/>
          <w:sz w:val="20"/>
          <w:szCs w:val="20"/>
        </w:rPr>
        <w:t>Id</w:t>
      </w:r>
      <w:r w:rsidRPr="00DE7DF2">
        <w:rPr>
          <w:rFonts w:ascii="Times New Roman" w:hAnsi="Times New Roman" w:cs="Times New Roman"/>
          <w:sz w:val="20"/>
          <w:szCs w:val="20"/>
        </w:rPr>
        <w:t>. at 1212.</w:t>
      </w:r>
    </w:p>
  </w:footnote>
  <w:footnote w:id="8">
    <w:p w14:paraId="6B89641B" w14:textId="6C9A9123" w:rsidR="00765734" w:rsidRPr="00555819" w:rsidRDefault="00765734">
      <w:pPr>
        <w:pStyle w:val="FootnoteText"/>
        <w:rPr>
          <w:rFonts w:ascii="Times New Roman" w:hAnsi="Times New Roman" w:cs="Times New Roman"/>
          <w:sz w:val="20"/>
          <w:szCs w:val="20"/>
        </w:rPr>
      </w:pPr>
      <w:r w:rsidRPr="00DE7DF2">
        <w:rPr>
          <w:rStyle w:val="FootnoteReference"/>
          <w:rFonts w:ascii="Times New Roman" w:hAnsi="Times New Roman" w:cs="Times New Roman"/>
          <w:sz w:val="20"/>
          <w:szCs w:val="20"/>
        </w:rPr>
        <w:footnoteRef/>
      </w:r>
      <w:r w:rsidRPr="00DE7DF2">
        <w:rPr>
          <w:rFonts w:ascii="Times New Roman" w:hAnsi="Times New Roman" w:cs="Times New Roman"/>
          <w:sz w:val="20"/>
          <w:szCs w:val="20"/>
        </w:rPr>
        <w:t xml:space="preserve"> </w:t>
      </w:r>
      <w:r w:rsidRPr="00DE7DF2">
        <w:rPr>
          <w:rFonts w:ascii="Times New Roman" w:hAnsi="Times New Roman" w:cs="Times New Roman"/>
          <w:i/>
          <w:sz w:val="20"/>
          <w:szCs w:val="20"/>
        </w:rPr>
        <w:t>See</w:t>
      </w:r>
      <w:r w:rsidRPr="00DE7DF2">
        <w:rPr>
          <w:rFonts w:ascii="Times New Roman" w:hAnsi="Times New Roman" w:cs="Times New Roman"/>
          <w:sz w:val="20"/>
          <w:szCs w:val="20"/>
        </w:rPr>
        <w:t xml:space="preserve"> Friends of the Wild Swan v. United States Forest Service, 2014 WL 1347987. No. CV 11-125-M-DWM.</w:t>
      </w:r>
      <w:r>
        <w:rPr>
          <w:rFonts w:ascii="Times New Roman" w:hAnsi="Times New Roman" w:cs="Times New Roman"/>
          <w:sz w:val="20"/>
          <w:szCs w:val="20"/>
        </w:rPr>
        <w:t xml:space="preserve"> </w:t>
      </w:r>
    </w:p>
  </w:footnote>
  <w:footnote w:id="9">
    <w:p w14:paraId="1750F6D0" w14:textId="2D7F980D" w:rsidR="00765734" w:rsidRDefault="00765734" w:rsidP="00EE32A2">
      <w:pPr>
        <w:pStyle w:val="FootnoteText"/>
        <w:rPr>
          <w:rFonts w:ascii="Times New Roman" w:hAnsi="Times New Roman"/>
          <w:sz w:val="20"/>
          <w:szCs w:val="20"/>
        </w:rPr>
      </w:pPr>
      <w:r>
        <w:rPr>
          <w:rStyle w:val="FootnoteReference"/>
          <w:rFonts w:ascii="Times New Roman" w:hAnsi="Times New Roman"/>
          <w:sz w:val="20"/>
          <w:szCs w:val="20"/>
        </w:rPr>
        <w:footnoteRef/>
      </w:r>
      <w:r>
        <w:rPr>
          <w:rFonts w:ascii="Times New Roman" w:hAnsi="Times New Roman"/>
          <w:sz w:val="20"/>
          <w:szCs w:val="20"/>
        </w:rPr>
        <w:t xml:space="preserve"> </w:t>
      </w:r>
      <w:r>
        <w:rPr>
          <w:rFonts w:ascii="Times New Roman" w:hAnsi="Times New Roman"/>
          <w:i/>
          <w:sz w:val="20"/>
          <w:szCs w:val="20"/>
        </w:rPr>
        <w:t>See</w:t>
      </w:r>
      <w:r>
        <w:rPr>
          <w:rFonts w:ascii="Times New Roman" w:hAnsi="Times New Roman"/>
          <w:sz w:val="20"/>
          <w:szCs w:val="20"/>
        </w:rPr>
        <w:t xml:space="preserve"> Friends of the Wild Swan v. Garcia at,</w:t>
      </w:r>
      <w:r>
        <w:rPr>
          <w:rFonts w:ascii="Times New Roman" w:hAnsi="Times New Roman"/>
          <w:i/>
          <w:sz w:val="20"/>
          <w:szCs w:val="20"/>
        </w:rPr>
        <w:t xml:space="preserve"> </w:t>
      </w:r>
      <w:r>
        <w:rPr>
          <w:rFonts w:ascii="Times New Roman" w:hAnsi="Times New Roman"/>
          <w:sz w:val="20"/>
          <w:szCs w:val="20"/>
        </w:rPr>
        <w:t xml:space="preserve">https: https://ecf.ca9.uscourts.gov/cmecf/servlet/TransportRoom?servlet=CaseSummary.jsp&amp;caseNum=14-35463&amp;incOrigDkt=Y&amp;incDktEntries=Y. </w:t>
      </w:r>
      <w:r>
        <w:rPr>
          <w:rFonts w:ascii="Times New Roman" w:hAnsi="Times New Roman"/>
          <w:bCs/>
          <w:sz w:val="20"/>
          <w:szCs w:val="20"/>
        </w:rPr>
        <w:t>Docket</w:t>
      </w:r>
      <w:r>
        <w:rPr>
          <w:rFonts w:ascii="Times New Roman" w:hAnsi="Times New Roman"/>
          <w:b/>
          <w:bCs/>
          <w:sz w:val="20"/>
          <w:szCs w:val="20"/>
        </w:rPr>
        <w:t xml:space="preserve"> #: </w:t>
      </w:r>
      <w:r>
        <w:rPr>
          <w:rFonts w:ascii="Times New Roman" w:hAnsi="Times New Roman"/>
          <w:sz w:val="20"/>
          <w:szCs w:val="20"/>
        </w:rPr>
        <w:t>14-35463. Last accessed Oct. 28, 2014.</w:t>
      </w:r>
    </w:p>
  </w:footnote>
  <w:footnote w:id="10">
    <w:p w14:paraId="181934F3" w14:textId="29F51BB3" w:rsidR="00765734" w:rsidRDefault="00765734" w:rsidP="00EE32A2">
      <w:pPr>
        <w:pStyle w:val="FootnoteText"/>
        <w:rPr>
          <w:rFonts w:ascii="Times New Roman" w:hAnsi="Times New Roman"/>
          <w:sz w:val="20"/>
          <w:szCs w:val="20"/>
        </w:rPr>
      </w:pPr>
      <w:r>
        <w:rPr>
          <w:rStyle w:val="FootnoteReference"/>
          <w:rFonts w:ascii="Times New Roman" w:hAnsi="Times New Roman"/>
          <w:sz w:val="20"/>
          <w:szCs w:val="20"/>
        </w:rPr>
        <w:footnoteRef/>
      </w:r>
      <w:r>
        <w:rPr>
          <w:rFonts w:ascii="Times New Roman" w:hAnsi="Times New Roman"/>
          <w:sz w:val="20"/>
          <w:szCs w:val="20"/>
        </w:rPr>
        <w:t xml:space="preserve"> </w:t>
      </w:r>
      <w:r w:rsidRPr="003234E2">
        <w:rPr>
          <w:rFonts w:ascii="Times New Roman" w:hAnsi="Times New Roman" w:cs="Times New Roman"/>
          <w:sz w:val="20"/>
          <w:szCs w:val="20"/>
        </w:rPr>
        <w:t>Lolo National Forest, U.S. Dept. of Agriculture, Forest Service, Colt Summit Restoration and Fuels Reduction Project, Environme</w:t>
      </w:r>
      <w:r>
        <w:rPr>
          <w:rFonts w:ascii="Times New Roman" w:hAnsi="Times New Roman" w:cs="Times New Roman"/>
          <w:sz w:val="20"/>
          <w:szCs w:val="20"/>
        </w:rPr>
        <w:t>ntal Assessment, Doc# A-1, p. 3</w:t>
      </w:r>
      <w:r w:rsidRPr="003234E2">
        <w:rPr>
          <w:rFonts w:ascii="Times New Roman" w:hAnsi="Times New Roman" w:cs="Times New Roman"/>
          <w:sz w:val="20"/>
          <w:szCs w:val="20"/>
        </w:rPr>
        <w:t xml:space="preserve"> (December 2010)</w:t>
      </w:r>
      <w:r>
        <w:rPr>
          <w:rFonts w:ascii="Times New Roman" w:hAnsi="Times New Roman" w:cs="Times New Roman"/>
          <w:sz w:val="20"/>
          <w:szCs w:val="20"/>
        </w:rPr>
        <w:t xml:space="preserve"> [hereinafter EA]</w:t>
      </w:r>
      <w:r w:rsidRPr="003234E2">
        <w:rPr>
          <w:rFonts w:ascii="Times New Roman" w:hAnsi="Times New Roman" w:cs="Times New Roman"/>
          <w:sz w:val="20"/>
          <w:szCs w:val="20"/>
        </w:rPr>
        <w:t xml:space="preserve">, </w:t>
      </w:r>
      <w:r w:rsidRPr="003234E2">
        <w:rPr>
          <w:rFonts w:ascii="Times New Roman" w:hAnsi="Times New Roman" w:cs="Times New Roman"/>
          <w:i/>
          <w:sz w:val="20"/>
          <w:szCs w:val="20"/>
        </w:rPr>
        <w:t>available at</w:t>
      </w:r>
      <w:r w:rsidRPr="003234E2">
        <w:rPr>
          <w:rFonts w:ascii="Times New Roman" w:hAnsi="Times New Roman" w:cs="Times New Roman"/>
          <w:sz w:val="20"/>
          <w:szCs w:val="20"/>
        </w:rPr>
        <w:t xml:space="preserve"> </w:t>
      </w:r>
      <w:r w:rsidRPr="00E535EA">
        <w:rPr>
          <w:rFonts w:ascii="Times New Roman" w:hAnsi="Times New Roman" w:cs="Times New Roman"/>
          <w:color w:val="1C1C1C"/>
          <w:sz w:val="20"/>
          <w:szCs w:val="20"/>
        </w:rPr>
        <w:t>http://1.usa.gov/19a69iP</w:t>
      </w:r>
    </w:p>
  </w:footnote>
  <w:footnote w:id="11">
    <w:p w14:paraId="1A110846" w14:textId="77777777" w:rsidR="00765734" w:rsidRDefault="00765734" w:rsidP="00EE32A2">
      <w:pPr>
        <w:pStyle w:val="FootnoteText"/>
        <w:rPr>
          <w:rFonts w:ascii="Times New Roman" w:hAnsi="Times New Roman"/>
          <w:sz w:val="20"/>
          <w:szCs w:val="20"/>
        </w:rPr>
      </w:pPr>
      <w:r>
        <w:rPr>
          <w:rStyle w:val="FootnoteReference"/>
          <w:rFonts w:ascii="Times New Roman" w:hAnsi="Times New Roman"/>
          <w:sz w:val="20"/>
          <w:szCs w:val="20"/>
        </w:rPr>
        <w:footnoteRef/>
      </w:r>
      <w:r>
        <w:rPr>
          <w:rFonts w:ascii="Times New Roman" w:hAnsi="Times New Roman"/>
          <w:sz w:val="20"/>
          <w:szCs w:val="20"/>
        </w:rPr>
        <w:t xml:space="preserve"> </w:t>
      </w:r>
      <w:r>
        <w:rPr>
          <w:rFonts w:ascii="Times New Roman" w:hAnsi="Times New Roman"/>
          <w:i/>
          <w:sz w:val="20"/>
          <w:szCs w:val="20"/>
        </w:rPr>
        <w:t>Id</w:t>
      </w:r>
      <w:r>
        <w:rPr>
          <w:rFonts w:ascii="Times New Roman" w:hAnsi="Times New Roman"/>
          <w:sz w:val="20"/>
          <w:szCs w:val="20"/>
        </w:rPr>
        <w:t>.</w:t>
      </w:r>
    </w:p>
  </w:footnote>
  <w:footnote w:id="12">
    <w:p w14:paraId="1A772F89" w14:textId="77777777" w:rsidR="00765734" w:rsidRDefault="00765734" w:rsidP="00EE32A2">
      <w:pPr>
        <w:pStyle w:val="FootnoteText"/>
        <w:rPr>
          <w:rFonts w:ascii="Times New Roman" w:hAnsi="Times New Roman"/>
          <w:sz w:val="20"/>
          <w:szCs w:val="20"/>
        </w:rPr>
      </w:pPr>
      <w:r>
        <w:rPr>
          <w:rStyle w:val="FootnoteReference"/>
          <w:rFonts w:ascii="Times New Roman" w:hAnsi="Times New Roman"/>
          <w:sz w:val="20"/>
          <w:szCs w:val="20"/>
        </w:rPr>
        <w:footnoteRef/>
      </w:r>
      <w:r>
        <w:rPr>
          <w:rFonts w:ascii="Times New Roman" w:hAnsi="Times New Roman"/>
          <w:sz w:val="20"/>
          <w:szCs w:val="20"/>
        </w:rPr>
        <w:t xml:space="preserve"> Lolo National Forest, U.S. Dept. of Agriculture, Forest Service, Colt Summit Restoration and Fuels Reduction Project, Decision Notice – Affirmation of Prior Decision, Doc# T-128, 86 (January 2013), </w:t>
      </w:r>
      <w:r>
        <w:rPr>
          <w:rFonts w:ascii="Times New Roman" w:hAnsi="Times New Roman"/>
          <w:i/>
          <w:sz w:val="20"/>
          <w:szCs w:val="20"/>
        </w:rPr>
        <w:t>available at</w:t>
      </w:r>
      <w:r>
        <w:rPr>
          <w:rFonts w:ascii="Times New Roman" w:hAnsi="Times New Roman"/>
          <w:sz w:val="20"/>
          <w:szCs w:val="20"/>
        </w:rPr>
        <w:t xml:space="preserve"> </w:t>
      </w:r>
      <w:r>
        <w:rPr>
          <w:rFonts w:ascii="Times New Roman" w:hAnsi="Times New Roman"/>
          <w:color w:val="1C1C1C"/>
          <w:sz w:val="20"/>
          <w:szCs w:val="20"/>
        </w:rPr>
        <w:t>http://1.usa.gov/19a69iP</w:t>
      </w:r>
      <w:r>
        <w:rPr>
          <w:rFonts w:ascii="Times New Roman" w:hAnsi="Times New Roman"/>
          <w:sz w:val="20"/>
          <w:szCs w:val="20"/>
        </w:rPr>
        <w:t xml:space="preserve"> [hereinafter AFFIRMATION].</w:t>
      </w:r>
    </w:p>
  </w:footnote>
  <w:footnote w:id="13">
    <w:p w14:paraId="696766E5" w14:textId="77777777" w:rsidR="00765734" w:rsidRDefault="00765734" w:rsidP="00EE32A2">
      <w:pPr>
        <w:pStyle w:val="FootnoteText"/>
        <w:rPr>
          <w:rFonts w:ascii="Times New Roman" w:hAnsi="Times New Roman"/>
          <w:sz w:val="20"/>
          <w:szCs w:val="20"/>
        </w:rPr>
      </w:pPr>
      <w:r>
        <w:rPr>
          <w:rStyle w:val="FootnoteReference"/>
          <w:rFonts w:ascii="Times New Roman" w:hAnsi="Times New Roman"/>
          <w:sz w:val="20"/>
          <w:szCs w:val="20"/>
        </w:rPr>
        <w:footnoteRef/>
      </w:r>
      <w:r>
        <w:rPr>
          <w:rFonts w:ascii="Times New Roman" w:hAnsi="Times New Roman"/>
          <w:sz w:val="20"/>
          <w:szCs w:val="20"/>
        </w:rPr>
        <w:t xml:space="preserve"> </w:t>
      </w:r>
      <w:r>
        <w:rPr>
          <w:rFonts w:ascii="Times New Roman" w:hAnsi="Times New Roman"/>
          <w:i/>
          <w:sz w:val="20"/>
          <w:szCs w:val="20"/>
        </w:rPr>
        <w:t>Id</w:t>
      </w:r>
      <w:r>
        <w:rPr>
          <w:rFonts w:ascii="Times New Roman" w:hAnsi="Times New Roman"/>
          <w:sz w:val="20"/>
          <w:szCs w:val="20"/>
        </w:rPr>
        <w:t>.</w:t>
      </w:r>
    </w:p>
  </w:footnote>
  <w:footnote w:id="14">
    <w:p w14:paraId="3EE34E03" w14:textId="6EE160F7" w:rsidR="00765734" w:rsidRPr="00404E4C" w:rsidRDefault="00765734" w:rsidP="00EE32A2">
      <w:pPr>
        <w:pStyle w:val="FootnoteText"/>
        <w:rPr>
          <w:rFonts w:ascii="Times New Roman" w:hAnsi="Times New Roman"/>
          <w:sz w:val="20"/>
          <w:szCs w:val="20"/>
        </w:rPr>
      </w:pPr>
      <w:r>
        <w:rPr>
          <w:rStyle w:val="FootnoteReference"/>
          <w:rFonts w:ascii="Times New Roman" w:hAnsi="Times New Roman"/>
          <w:sz w:val="20"/>
          <w:szCs w:val="20"/>
        </w:rPr>
        <w:footnoteRef/>
      </w:r>
      <w:r>
        <w:rPr>
          <w:rFonts w:ascii="Times New Roman" w:hAnsi="Times New Roman"/>
          <w:sz w:val="20"/>
          <w:szCs w:val="20"/>
        </w:rPr>
        <w:t xml:space="preserve"> </w:t>
      </w:r>
      <w:r>
        <w:rPr>
          <w:rFonts w:ascii="Times New Roman" w:hAnsi="Times New Roman"/>
          <w:i/>
          <w:sz w:val="20"/>
          <w:szCs w:val="20"/>
        </w:rPr>
        <w:t xml:space="preserve">See </w:t>
      </w:r>
      <w:r>
        <w:rPr>
          <w:rFonts w:ascii="Times New Roman" w:hAnsi="Times New Roman"/>
          <w:sz w:val="20"/>
          <w:szCs w:val="20"/>
        </w:rPr>
        <w:t>AFFIRMATION at 87.</w:t>
      </w:r>
    </w:p>
  </w:footnote>
  <w:footnote w:id="15">
    <w:p w14:paraId="3134955E" w14:textId="77777777" w:rsidR="00765734" w:rsidRDefault="00765734" w:rsidP="00EE32A2">
      <w:pPr>
        <w:pStyle w:val="FootnoteText"/>
        <w:rPr>
          <w:rFonts w:ascii="Times New Roman" w:hAnsi="Times New Roman"/>
          <w:sz w:val="20"/>
          <w:szCs w:val="20"/>
        </w:rPr>
      </w:pPr>
      <w:r>
        <w:rPr>
          <w:rStyle w:val="FootnoteReference"/>
          <w:rFonts w:ascii="Times New Roman" w:hAnsi="Times New Roman"/>
          <w:sz w:val="20"/>
          <w:szCs w:val="20"/>
        </w:rPr>
        <w:footnoteRef/>
      </w:r>
      <w:r>
        <w:rPr>
          <w:rFonts w:ascii="Times New Roman" w:hAnsi="Times New Roman"/>
          <w:sz w:val="20"/>
          <w:szCs w:val="20"/>
        </w:rPr>
        <w:t xml:space="preserve"> </w:t>
      </w:r>
      <w:r>
        <w:rPr>
          <w:rFonts w:ascii="Times New Roman" w:hAnsi="Times New Roman"/>
          <w:i/>
          <w:sz w:val="20"/>
          <w:szCs w:val="20"/>
        </w:rPr>
        <w:t>Id</w:t>
      </w:r>
      <w:r>
        <w:rPr>
          <w:rFonts w:ascii="Times New Roman" w:hAnsi="Times New Roman"/>
          <w:sz w:val="20"/>
          <w:szCs w:val="20"/>
        </w:rPr>
        <w:t>.</w:t>
      </w:r>
    </w:p>
  </w:footnote>
  <w:footnote w:id="16">
    <w:p w14:paraId="49530D8A" w14:textId="1D97FB02" w:rsidR="00765734" w:rsidRDefault="00765734" w:rsidP="00EE32A2">
      <w:pPr>
        <w:pStyle w:val="FootnoteText"/>
        <w:rPr>
          <w:rFonts w:ascii="Times New Roman" w:hAnsi="Times New Roman"/>
          <w:sz w:val="20"/>
          <w:szCs w:val="20"/>
        </w:rPr>
      </w:pPr>
      <w:r>
        <w:rPr>
          <w:rStyle w:val="FootnoteReference"/>
          <w:rFonts w:ascii="Times New Roman" w:hAnsi="Times New Roman"/>
          <w:sz w:val="20"/>
          <w:szCs w:val="20"/>
        </w:rPr>
        <w:footnoteRef/>
      </w:r>
      <w:r>
        <w:rPr>
          <w:rFonts w:ascii="Times New Roman" w:hAnsi="Times New Roman"/>
          <w:sz w:val="20"/>
          <w:szCs w:val="20"/>
        </w:rPr>
        <w:t xml:space="preserve"> </w:t>
      </w:r>
      <w:r>
        <w:rPr>
          <w:rFonts w:ascii="Times New Roman" w:hAnsi="Times New Roman"/>
          <w:i/>
          <w:sz w:val="20"/>
          <w:szCs w:val="20"/>
        </w:rPr>
        <w:t xml:space="preserve">See </w:t>
      </w:r>
      <w:r>
        <w:rPr>
          <w:rFonts w:ascii="Times New Roman" w:hAnsi="Times New Roman"/>
          <w:sz w:val="20"/>
          <w:szCs w:val="20"/>
        </w:rPr>
        <w:t>AFFIRMATION at 88.</w:t>
      </w:r>
    </w:p>
  </w:footnote>
  <w:footnote w:id="17">
    <w:p w14:paraId="123B5189" w14:textId="77777777" w:rsidR="00765734" w:rsidRDefault="00765734" w:rsidP="00EE32A2">
      <w:pPr>
        <w:pStyle w:val="FootnoteText"/>
        <w:rPr>
          <w:rFonts w:ascii="Times New Roman" w:hAnsi="Times New Roman"/>
          <w:sz w:val="20"/>
          <w:szCs w:val="20"/>
        </w:rPr>
      </w:pPr>
      <w:r>
        <w:rPr>
          <w:rStyle w:val="FootnoteReference"/>
          <w:rFonts w:ascii="Times New Roman" w:hAnsi="Times New Roman"/>
          <w:sz w:val="20"/>
          <w:szCs w:val="20"/>
        </w:rPr>
        <w:footnoteRef/>
      </w:r>
      <w:r>
        <w:rPr>
          <w:rFonts w:ascii="Times New Roman" w:hAnsi="Times New Roman"/>
          <w:sz w:val="20"/>
          <w:szCs w:val="20"/>
        </w:rPr>
        <w:t xml:space="preserve"> </w:t>
      </w:r>
      <w:r>
        <w:rPr>
          <w:rFonts w:ascii="Times New Roman" w:hAnsi="Times New Roman"/>
          <w:i/>
          <w:sz w:val="20"/>
          <w:szCs w:val="20"/>
        </w:rPr>
        <w:t>Id</w:t>
      </w:r>
      <w:r>
        <w:rPr>
          <w:rFonts w:ascii="Times New Roman" w:hAnsi="Times New Roman"/>
          <w:sz w:val="20"/>
          <w:szCs w:val="20"/>
        </w:rPr>
        <w:t>.</w:t>
      </w:r>
    </w:p>
  </w:footnote>
  <w:footnote w:id="18">
    <w:p w14:paraId="08B3A58D" w14:textId="02341D79" w:rsidR="00765734" w:rsidRPr="004F2E78" w:rsidRDefault="00765734" w:rsidP="00EE32A2">
      <w:pPr>
        <w:pStyle w:val="FootnoteText"/>
        <w:rPr>
          <w:sz w:val="20"/>
          <w:szCs w:val="20"/>
        </w:rPr>
      </w:pPr>
      <w:r>
        <w:rPr>
          <w:rStyle w:val="FootnoteReference"/>
          <w:rFonts w:ascii="Times New Roman" w:hAnsi="Times New Roman"/>
          <w:sz w:val="20"/>
          <w:szCs w:val="20"/>
        </w:rPr>
        <w:footnoteRef/>
      </w:r>
      <w:r>
        <w:rPr>
          <w:rFonts w:ascii="Times New Roman" w:hAnsi="Times New Roman"/>
          <w:sz w:val="20"/>
          <w:szCs w:val="20"/>
        </w:rPr>
        <w:t xml:space="preserve"> </w:t>
      </w:r>
      <w:r>
        <w:rPr>
          <w:rFonts w:ascii="Times New Roman" w:hAnsi="Times New Roman"/>
          <w:i/>
          <w:sz w:val="20"/>
          <w:szCs w:val="20"/>
        </w:rPr>
        <w:t xml:space="preserve">See </w:t>
      </w:r>
      <w:r>
        <w:rPr>
          <w:rFonts w:ascii="Times New Roman" w:hAnsi="Times New Roman"/>
          <w:sz w:val="20"/>
          <w:szCs w:val="20"/>
        </w:rPr>
        <w:t>AFFIRMATION at 89.</w:t>
      </w:r>
    </w:p>
  </w:footnote>
  <w:footnote w:id="19">
    <w:p w14:paraId="212ACF59" w14:textId="67253CBD" w:rsidR="00765734" w:rsidRPr="004F2E78" w:rsidRDefault="00765734">
      <w:pPr>
        <w:pStyle w:val="FootnoteText"/>
        <w:rPr>
          <w:rFonts w:ascii="Times New Roman" w:hAnsi="Times New Roman" w:cs="Times New Roman"/>
          <w:sz w:val="20"/>
          <w:szCs w:val="20"/>
        </w:rPr>
      </w:pPr>
      <w:r w:rsidRPr="004F2E78">
        <w:rPr>
          <w:rStyle w:val="FootnoteReference"/>
          <w:rFonts w:ascii="Times New Roman" w:hAnsi="Times New Roman" w:cs="Times New Roman"/>
          <w:sz w:val="20"/>
          <w:szCs w:val="20"/>
        </w:rPr>
        <w:footnoteRef/>
      </w:r>
      <w:r w:rsidRPr="004F2E78">
        <w:rPr>
          <w:rFonts w:ascii="Times New Roman" w:hAnsi="Times New Roman" w:cs="Times New Roman"/>
          <w:sz w:val="20"/>
          <w:szCs w:val="20"/>
        </w:rPr>
        <w:t xml:space="preserve"> </w:t>
      </w:r>
      <w:r>
        <w:rPr>
          <w:rFonts w:ascii="Times New Roman" w:hAnsi="Times New Roman" w:cs="Times New Roman"/>
          <w:i/>
          <w:sz w:val="20"/>
          <w:szCs w:val="20"/>
        </w:rPr>
        <w:t>See generally,</w:t>
      </w:r>
      <w:r>
        <w:rPr>
          <w:rFonts w:ascii="Times New Roman" w:hAnsi="Times New Roman" w:cs="Times New Roman"/>
          <w:sz w:val="20"/>
          <w:szCs w:val="20"/>
        </w:rPr>
        <w:t xml:space="preserve"> FRIENDS at note 1.</w:t>
      </w:r>
    </w:p>
  </w:footnote>
  <w:footnote w:id="20">
    <w:p w14:paraId="16D64B97" w14:textId="1D461D8E" w:rsidR="00765734" w:rsidRPr="004F2E78" w:rsidRDefault="00765734">
      <w:pPr>
        <w:pStyle w:val="FootnoteText"/>
        <w:rPr>
          <w:i/>
        </w:rPr>
      </w:pPr>
      <w:r w:rsidRPr="004F2E78">
        <w:rPr>
          <w:rStyle w:val="FootnoteReference"/>
          <w:rFonts w:ascii="Times New Roman" w:hAnsi="Times New Roman" w:cs="Times New Roman"/>
          <w:sz w:val="20"/>
          <w:szCs w:val="20"/>
        </w:rPr>
        <w:footnoteRef/>
      </w:r>
      <w:r w:rsidRPr="004F2E78">
        <w:rPr>
          <w:rFonts w:ascii="Times New Roman" w:hAnsi="Times New Roman" w:cs="Times New Roman"/>
          <w:sz w:val="20"/>
          <w:szCs w:val="20"/>
        </w:rPr>
        <w:t xml:space="preserve"> </w:t>
      </w:r>
      <w:r w:rsidRPr="004F2E78">
        <w:rPr>
          <w:rFonts w:ascii="Times New Roman" w:hAnsi="Times New Roman" w:cs="Times New Roman"/>
          <w:i/>
          <w:sz w:val="20"/>
          <w:szCs w:val="20"/>
        </w:rPr>
        <w:t>See</w:t>
      </w:r>
      <w:r>
        <w:rPr>
          <w:i/>
        </w:rPr>
        <w:t xml:space="preserve"> </w:t>
      </w:r>
      <w:r>
        <w:rPr>
          <w:rFonts w:ascii="Times New Roman" w:hAnsi="Times New Roman"/>
          <w:sz w:val="20"/>
          <w:szCs w:val="20"/>
        </w:rPr>
        <w:t>50 C.F.R § 17.11(h) (2000), and 50 C.F.R § 17.95 (2000).</w:t>
      </w:r>
    </w:p>
  </w:footnote>
  <w:footnote w:id="21">
    <w:p w14:paraId="6EE2CF36" w14:textId="77777777" w:rsidR="00765734" w:rsidRDefault="00765734" w:rsidP="00EE32A2">
      <w:pPr>
        <w:pStyle w:val="FootnoteText"/>
        <w:rPr>
          <w:rFonts w:ascii="Times New Roman" w:hAnsi="Times New Roman"/>
          <w:sz w:val="20"/>
          <w:szCs w:val="20"/>
        </w:rPr>
      </w:pPr>
      <w:r>
        <w:rPr>
          <w:rStyle w:val="FootnoteReference"/>
          <w:rFonts w:ascii="Times New Roman" w:hAnsi="Times New Roman"/>
          <w:sz w:val="20"/>
          <w:szCs w:val="20"/>
        </w:rPr>
        <w:footnoteRef/>
      </w:r>
      <w:r>
        <w:rPr>
          <w:rFonts w:ascii="Times New Roman" w:hAnsi="Times New Roman"/>
          <w:sz w:val="20"/>
          <w:szCs w:val="20"/>
        </w:rPr>
        <w:t xml:space="preserve"> </w:t>
      </w:r>
      <w:r>
        <w:rPr>
          <w:rFonts w:ascii="Times New Roman" w:hAnsi="Times New Roman"/>
          <w:color w:val="1C1C1C"/>
          <w:sz w:val="20"/>
          <w:szCs w:val="20"/>
        </w:rPr>
        <w:t>16 U.S.C § 1533(a)(1)(A) (1973).</w:t>
      </w:r>
    </w:p>
  </w:footnote>
  <w:footnote w:id="22">
    <w:p w14:paraId="0E344547" w14:textId="614590B9" w:rsidR="00765734" w:rsidRDefault="00765734" w:rsidP="00EE32A2">
      <w:pPr>
        <w:pStyle w:val="FootnoteText"/>
        <w:rPr>
          <w:rFonts w:ascii="Times New Roman" w:hAnsi="Times New Roman"/>
          <w:sz w:val="20"/>
          <w:szCs w:val="20"/>
        </w:rPr>
      </w:pPr>
      <w:r>
        <w:rPr>
          <w:rStyle w:val="FootnoteReference"/>
          <w:rFonts w:ascii="Times New Roman" w:hAnsi="Times New Roman"/>
          <w:sz w:val="20"/>
          <w:szCs w:val="20"/>
        </w:rPr>
        <w:footnoteRef/>
      </w:r>
      <w:r>
        <w:rPr>
          <w:rFonts w:ascii="Times New Roman" w:hAnsi="Times New Roman"/>
          <w:sz w:val="20"/>
          <w:szCs w:val="20"/>
        </w:rPr>
        <w:t xml:space="preserve"> </w:t>
      </w:r>
      <w:r>
        <w:rPr>
          <w:rFonts w:ascii="Times New Roman" w:hAnsi="Times New Roman"/>
          <w:color w:val="1C1C1C"/>
          <w:sz w:val="20"/>
          <w:szCs w:val="20"/>
        </w:rPr>
        <w:t xml:space="preserve">16 U.S.C § 1533(a)(3) (1973). </w:t>
      </w:r>
    </w:p>
  </w:footnote>
  <w:footnote w:id="23">
    <w:p w14:paraId="0652759C" w14:textId="77777777" w:rsidR="00765734" w:rsidRDefault="00765734" w:rsidP="00EE32A2">
      <w:pPr>
        <w:pStyle w:val="FootnoteText"/>
        <w:rPr>
          <w:rFonts w:ascii="Times New Roman" w:hAnsi="Times New Roman"/>
          <w:sz w:val="20"/>
          <w:szCs w:val="20"/>
        </w:rPr>
      </w:pPr>
      <w:r>
        <w:rPr>
          <w:rStyle w:val="FootnoteReference"/>
          <w:rFonts w:ascii="Times New Roman" w:hAnsi="Times New Roman"/>
          <w:sz w:val="20"/>
          <w:szCs w:val="20"/>
        </w:rPr>
        <w:footnoteRef/>
      </w:r>
      <w:r>
        <w:rPr>
          <w:rFonts w:ascii="Times New Roman" w:hAnsi="Times New Roman"/>
          <w:sz w:val="20"/>
          <w:szCs w:val="20"/>
        </w:rPr>
        <w:t xml:space="preserve"> </w:t>
      </w:r>
      <w:r>
        <w:rPr>
          <w:rFonts w:ascii="Times New Roman" w:hAnsi="Times New Roman"/>
          <w:color w:val="1C1C1C"/>
          <w:sz w:val="20"/>
          <w:szCs w:val="20"/>
        </w:rPr>
        <w:t>16 U.S.C § 1533(f)(1) (1973).</w:t>
      </w:r>
    </w:p>
  </w:footnote>
  <w:footnote w:id="24">
    <w:p w14:paraId="247699B8" w14:textId="77777777" w:rsidR="00765734" w:rsidRDefault="00765734" w:rsidP="00EE32A2">
      <w:pPr>
        <w:pStyle w:val="FootnoteText"/>
        <w:rPr>
          <w:rFonts w:ascii="Times New Roman" w:hAnsi="Times New Roman"/>
          <w:sz w:val="20"/>
          <w:szCs w:val="20"/>
        </w:rPr>
      </w:pPr>
      <w:r>
        <w:rPr>
          <w:rStyle w:val="FootnoteReference"/>
          <w:rFonts w:ascii="Times New Roman" w:hAnsi="Times New Roman"/>
          <w:sz w:val="20"/>
          <w:szCs w:val="20"/>
        </w:rPr>
        <w:footnoteRef/>
      </w:r>
      <w:r>
        <w:rPr>
          <w:rFonts w:ascii="Times New Roman" w:hAnsi="Times New Roman"/>
          <w:sz w:val="20"/>
          <w:szCs w:val="20"/>
        </w:rPr>
        <w:t xml:space="preserve"> </w:t>
      </w:r>
      <w:r>
        <w:rPr>
          <w:rFonts w:ascii="Times New Roman" w:hAnsi="Times New Roman"/>
          <w:color w:val="1C1C1C"/>
          <w:sz w:val="20"/>
          <w:szCs w:val="20"/>
        </w:rPr>
        <w:t>16 U.S.C § 1533(f)(1)(B)(i) (1973).</w:t>
      </w:r>
    </w:p>
  </w:footnote>
  <w:footnote w:id="25">
    <w:p w14:paraId="74F3FC96" w14:textId="77777777" w:rsidR="00765734" w:rsidRDefault="00765734" w:rsidP="00EE32A2">
      <w:pPr>
        <w:pStyle w:val="FootnoteText"/>
        <w:rPr>
          <w:sz w:val="20"/>
          <w:szCs w:val="20"/>
        </w:rPr>
      </w:pPr>
      <w:r>
        <w:rPr>
          <w:rStyle w:val="FootnoteReference"/>
          <w:rFonts w:ascii="Times New Roman" w:hAnsi="Times New Roman"/>
          <w:sz w:val="20"/>
          <w:szCs w:val="20"/>
        </w:rPr>
        <w:footnoteRef/>
      </w:r>
      <w:r>
        <w:rPr>
          <w:rFonts w:ascii="Times New Roman" w:hAnsi="Times New Roman"/>
          <w:sz w:val="20"/>
          <w:szCs w:val="20"/>
        </w:rPr>
        <w:t xml:space="preserve"> 50 C.F.R § 17.11(h) (2000).</w:t>
      </w:r>
    </w:p>
  </w:footnote>
  <w:footnote w:id="26">
    <w:p w14:paraId="4F2DF10A" w14:textId="77777777" w:rsidR="00765734" w:rsidRDefault="00765734" w:rsidP="00EE32A2">
      <w:pPr>
        <w:pStyle w:val="FootnoteText"/>
        <w:rPr>
          <w:rFonts w:ascii="Times New Roman" w:hAnsi="Times New Roman"/>
          <w:sz w:val="20"/>
          <w:szCs w:val="20"/>
        </w:rPr>
      </w:pPr>
      <w:r>
        <w:rPr>
          <w:rStyle w:val="FootnoteReference"/>
          <w:rFonts w:ascii="Times New Roman" w:hAnsi="Times New Roman"/>
          <w:sz w:val="20"/>
          <w:szCs w:val="20"/>
        </w:rPr>
        <w:footnoteRef/>
      </w:r>
      <w:r>
        <w:rPr>
          <w:rFonts w:ascii="Times New Roman" w:hAnsi="Times New Roman"/>
          <w:sz w:val="20"/>
          <w:szCs w:val="20"/>
        </w:rPr>
        <w:t xml:space="preserve"> 50 C.F.R § 17.95 (2000).</w:t>
      </w:r>
    </w:p>
  </w:footnote>
  <w:footnote w:id="27">
    <w:p w14:paraId="3084F1DD" w14:textId="77777777" w:rsidR="00765734" w:rsidRDefault="00765734" w:rsidP="00EE32A2">
      <w:pPr>
        <w:pStyle w:val="Default"/>
        <w:rPr>
          <w:rFonts w:cs="Times New Roman"/>
        </w:rPr>
      </w:pPr>
      <w:r>
        <w:rPr>
          <w:rStyle w:val="FootnoteReference"/>
          <w:rFonts w:cs="Times New Roman"/>
          <w:sz w:val="20"/>
          <w:szCs w:val="20"/>
        </w:rPr>
        <w:footnoteRef/>
      </w:r>
      <w:r>
        <w:rPr>
          <w:rFonts w:cs="Times New Roman"/>
          <w:sz w:val="20"/>
          <w:szCs w:val="20"/>
        </w:rPr>
        <w:t xml:space="preserve"> </w:t>
      </w:r>
      <w:r>
        <w:rPr>
          <w:rFonts w:cs="Times New Roman"/>
          <w:i/>
          <w:sz w:val="20"/>
          <w:szCs w:val="20"/>
        </w:rPr>
        <w:t xml:space="preserve">See generally </w:t>
      </w:r>
      <w:r>
        <w:rPr>
          <w:rFonts w:cs="Times New Roman"/>
          <w:sz w:val="20"/>
          <w:szCs w:val="20"/>
        </w:rPr>
        <w:t xml:space="preserve">Bill Ruediger, et al. </w:t>
      </w:r>
      <w:r>
        <w:rPr>
          <w:rFonts w:cs="Times New Roman"/>
          <w:i/>
          <w:sz w:val="20"/>
          <w:szCs w:val="20"/>
        </w:rPr>
        <w:t>Canada Lynx Conservation and Assessment Strategy</w:t>
      </w:r>
      <w:r>
        <w:rPr>
          <w:rFonts w:cs="Times New Roman"/>
          <w:sz w:val="20"/>
          <w:szCs w:val="20"/>
        </w:rPr>
        <w:t>, USDA Forest Service, USDI Fish and Wildlife Service, USDI Bureau of Land Management, and USDI National Park Service, Forest Service Publication #R1-00-53 (2000),</w:t>
      </w:r>
      <w:r>
        <w:rPr>
          <w:rFonts w:cs="Times New Roman"/>
          <w:color w:val="1C1C1C"/>
          <w:sz w:val="20"/>
          <w:szCs w:val="20"/>
        </w:rPr>
        <w:t xml:space="preserve"> </w:t>
      </w:r>
      <w:r>
        <w:rPr>
          <w:rFonts w:cs="Times New Roman"/>
          <w:i/>
          <w:color w:val="1C1C1C"/>
          <w:sz w:val="20"/>
          <w:szCs w:val="20"/>
        </w:rPr>
        <w:t xml:space="preserve">available at </w:t>
      </w:r>
      <w:r>
        <w:rPr>
          <w:rFonts w:cs="Times New Roman"/>
          <w:sz w:val="20"/>
          <w:szCs w:val="20"/>
        </w:rPr>
        <w:t xml:space="preserve">http://www.fs.fed.us/r1/planning/lynx/lynx.html </w:t>
      </w:r>
      <w:r>
        <w:rPr>
          <w:rFonts w:cs="Times New Roman"/>
          <w:color w:val="1C1C1C"/>
          <w:sz w:val="20"/>
          <w:szCs w:val="20"/>
        </w:rPr>
        <w:t xml:space="preserve"> (The measures include vegetation management techniques that maintain dense understory conditions for prey, minimize snow compaction, and maintain connectivity between habitat areas).</w:t>
      </w:r>
    </w:p>
  </w:footnote>
  <w:footnote w:id="28">
    <w:p w14:paraId="773F6DF8" w14:textId="77777777" w:rsidR="00765734" w:rsidRDefault="00765734" w:rsidP="00EE32A2">
      <w:pPr>
        <w:pStyle w:val="FootnoteText"/>
        <w:rPr>
          <w:rFonts w:ascii="Times New Roman" w:hAnsi="Times New Roman"/>
          <w:i/>
          <w:sz w:val="20"/>
          <w:szCs w:val="20"/>
        </w:rPr>
      </w:pPr>
      <w:r>
        <w:rPr>
          <w:rStyle w:val="FootnoteReference"/>
          <w:rFonts w:ascii="Times New Roman" w:hAnsi="Times New Roman"/>
          <w:sz w:val="20"/>
          <w:szCs w:val="20"/>
        </w:rPr>
        <w:footnoteRef/>
      </w:r>
      <w:r>
        <w:rPr>
          <w:rFonts w:ascii="Times New Roman" w:hAnsi="Times New Roman"/>
          <w:sz w:val="20"/>
          <w:szCs w:val="20"/>
        </w:rPr>
        <w:t xml:space="preserve"> </w:t>
      </w:r>
      <w:r>
        <w:rPr>
          <w:rFonts w:ascii="Times New Roman" w:hAnsi="Times New Roman"/>
          <w:i/>
          <w:sz w:val="20"/>
          <w:szCs w:val="20"/>
        </w:rPr>
        <w:t>Id.</w:t>
      </w:r>
    </w:p>
  </w:footnote>
  <w:footnote w:id="29">
    <w:p w14:paraId="576AB642" w14:textId="2B130372" w:rsidR="00765734" w:rsidRDefault="00765734" w:rsidP="00EE32A2">
      <w:pPr>
        <w:pStyle w:val="FootnoteText"/>
        <w:rPr>
          <w:rFonts w:ascii="Times New Roman" w:hAnsi="Times New Roman"/>
          <w:sz w:val="20"/>
          <w:szCs w:val="20"/>
        </w:rPr>
      </w:pPr>
      <w:r>
        <w:rPr>
          <w:rStyle w:val="FootnoteReference"/>
          <w:rFonts w:ascii="Times New Roman" w:hAnsi="Times New Roman"/>
          <w:sz w:val="20"/>
          <w:szCs w:val="20"/>
        </w:rPr>
        <w:footnoteRef/>
      </w:r>
      <w:r>
        <w:rPr>
          <w:rFonts w:ascii="Times New Roman" w:hAnsi="Times New Roman"/>
          <w:sz w:val="20"/>
          <w:szCs w:val="20"/>
        </w:rPr>
        <w:t xml:space="preserve"> </w:t>
      </w:r>
      <w:r>
        <w:rPr>
          <w:rFonts w:ascii="Times New Roman" w:hAnsi="Times New Roman"/>
          <w:i/>
          <w:sz w:val="20"/>
          <w:szCs w:val="20"/>
        </w:rPr>
        <w:t>See generally</w:t>
      </w:r>
      <w:r>
        <w:rPr>
          <w:rFonts w:ascii="Times New Roman" w:hAnsi="Times New Roman"/>
          <w:sz w:val="20"/>
          <w:szCs w:val="20"/>
        </w:rPr>
        <w:t xml:space="preserve"> EA at note 10.</w:t>
      </w:r>
    </w:p>
  </w:footnote>
  <w:footnote w:id="30">
    <w:p w14:paraId="33DEE2DC" w14:textId="77777777" w:rsidR="00765734" w:rsidRDefault="00765734" w:rsidP="00EE32A2">
      <w:pPr>
        <w:pStyle w:val="FootnoteText"/>
        <w:rPr>
          <w:rFonts w:ascii="Times New Roman" w:hAnsi="Times New Roman"/>
          <w:sz w:val="20"/>
          <w:szCs w:val="20"/>
        </w:rPr>
      </w:pPr>
      <w:r>
        <w:rPr>
          <w:rStyle w:val="FootnoteReference"/>
          <w:rFonts w:ascii="Times New Roman" w:hAnsi="Times New Roman"/>
          <w:sz w:val="20"/>
          <w:szCs w:val="20"/>
        </w:rPr>
        <w:footnoteRef/>
      </w:r>
      <w:r>
        <w:rPr>
          <w:rFonts w:ascii="Times New Roman" w:hAnsi="Times New Roman"/>
          <w:sz w:val="20"/>
          <w:szCs w:val="20"/>
        </w:rPr>
        <w:t xml:space="preserve"> 16 U.S.C. § 1536 (1973).</w:t>
      </w:r>
    </w:p>
  </w:footnote>
  <w:footnote w:id="31">
    <w:p w14:paraId="08B1E672" w14:textId="77777777" w:rsidR="00765734" w:rsidRDefault="00765734" w:rsidP="00EE32A2">
      <w:pPr>
        <w:pStyle w:val="FootnoteText"/>
        <w:rPr>
          <w:rFonts w:ascii="Times New Roman" w:hAnsi="Times New Roman"/>
        </w:rPr>
      </w:pPr>
      <w:r>
        <w:rPr>
          <w:rStyle w:val="FootnoteReference"/>
          <w:rFonts w:ascii="Times New Roman" w:hAnsi="Times New Roman"/>
          <w:sz w:val="20"/>
          <w:szCs w:val="20"/>
        </w:rPr>
        <w:footnoteRef/>
      </w:r>
      <w:r>
        <w:rPr>
          <w:rFonts w:ascii="Times New Roman" w:hAnsi="Times New Roman"/>
          <w:sz w:val="20"/>
          <w:szCs w:val="20"/>
        </w:rPr>
        <w:t xml:space="preserve"> 16 U.S.C. § 1536</w:t>
      </w:r>
      <w:r>
        <w:rPr>
          <w:rFonts w:ascii="Times New Roman" w:hAnsi="Times New Roman"/>
          <w:color w:val="1C1C1C"/>
          <w:sz w:val="20"/>
          <w:szCs w:val="20"/>
        </w:rPr>
        <w:t>(a)(2)</w:t>
      </w:r>
      <w:r>
        <w:rPr>
          <w:rFonts w:ascii="Times New Roman" w:hAnsi="Times New Roman"/>
          <w:sz w:val="20"/>
          <w:szCs w:val="20"/>
        </w:rPr>
        <w:t xml:space="preserve"> (1973).</w:t>
      </w:r>
    </w:p>
  </w:footnote>
  <w:footnote w:id="32">
    <w:p w14:paraId="2BE252B2" w14:textId="77777777" w:rsidR="00765734" w:rsidRDefault="00765734" w:rsidP="00EE32A2">
      <w:pPr>
        <w:pStyle w:val="FootnoteText"/>
        <w:rPr>
          <w:rFonts w:ascii="Times New Roman" w:hAnsi="Times New Roman"/>
          <w:sz w:val="20"/>
          <w:szCs w:val="20"/>
        </w:rPr>
      </w:pPr>
      <w:r>
        <w:rPr>
          <w:rStyle w:val="FootnoteReference"/>
          <w:rFonts w:ascii="Times New Roman" w:hAnsi="Times New Roman"/>
          <w:sz w:val="20"/>
          <w:szCs w:val="20"/>
        </w:rPr>
        <w:footnoteRef/>
      </w:r>
      <w:r>
        <w:rPr>
          <w:rFonts w:ascii="Times New Roman" w:hAnsi="Times New Roman"/>
          <w:sz w:val="20"/>
          <w:szCs w:val="20"/>
        </w:rPr>
        <w:t xml:space="preserve"> 16 U.S.C. § 1536</w:t>
      </w:r>
      <w:r>
        <w:rPr>
          <w:rFonts w:ascii="Times New Roman" w:hAnsi="Times New Roman"/>
          <w:color w:val="1C1C1C"/>
          <w:sz w:val="20"/>
          <w:szCs w:val="20"/>
        </w:rPr>
        <w:t>(a)(3)</w:t>
      </w:r>
      <w:r>
        <w:rPr>
          <w:rFonts w:ascii="Times New Roman" w:hAnsi="Times New Roman"/>
          <w:sz w:val="20"/>
          <w:szCs w:val="20"/>
        </w:rPr>
        <w:t xml:space="preserve"> (1973).</w:t>
      </w:r>
    </w:p>
  </w:footnote>
  <w:footnote w:id="33">
    <w:p w14:paraId="248B41BF" w14:textId="77777777" w:rsidR="00765734" w:rsidRDefault="00765734" w:rsidP="00EE32A2">
      <w:pPr>
        <w:pStyle w:val="FootnoteText"/>
        <w:rPr>
          <w:rFonts w:ascii="Times New Roman" w:hAnsi="Times New Roman"/>
          <w:sz w:val="20"/>
          <w:szCs w:val="20"/>
        </w:rPr>
      </w:pPr>
      <w:r>
        <w:rPr>
          <w:rStyle w:val="FootnoteReference"/>
          <w:rFonts w:ascii="Times New Roman" w:hAnsi="Times New Roman"/>
          <w:sz w:val="20"/>
          <w:szCs w:val="20"/>
        </w:rPr>
        <w:footnoteRef/>
      </w:r>
      <w:r>
        <w:rPr>
          <w:rFonts w:ascii="Times New Roman" w:hAnsi="Times New Roman"/>
          <w:sz w:val="20"/>
          <w:szCs w:val="20"/>
        </w:rPr>
        <w:t xml:space="preserve"> 16 U.S.C. § 1536</w:t>
      </w:r>
      <w:r>
        <w:rPr>
          <w:rFonts w:ascii="Times New Roman" w:hAnsi="Times New Roman"/>
          <w:color w:val="1C1C1C"/>
          <w:sz w:val="20"/>
          <w:szCs w:val="20"/>
        </w:rPr>
        <w:t>(c)(1)</w:t>
      </w:r>
      <w:r>
        <w:rPr>
          <w:rFonts w:ascii="Times New Roman" w:hAnsi="Times New Roman"/>
          <w:sz w:val="20"/>
          <w:szCs w:val="20"/>
        </w:rPr>
        <w:t xml:space="preserve"> (1973).</w:t>
      </w:r>
    </w:p>
  </w:footnote>
  <w:footnote w:id="34">
    <w:p w14:paraId="0D65F004" w14:textId="77777777" w:rsidR="00765734" w:rsidRDefault="00765734" w:rsidP="00EE32A2">
      <w:pPr>
        <w:pStyle w:val="FootnoteText"/>
        <w:rPr>
          <w:rFonts w:ascii="Times New Roman" w:hAnsi="Times New Roman"/>
          <w:sz w:val="20"/>
          <w:szCs w:val="20"/>
        </w:rPr>
      </w:pPr>
      <w:r>
        <w:rPr>
          <w:rStyle w:val="FootnoteReference"/>
          <w:rFonts w:ascii="Times New Roman" w:hAnsi="Times New Roman"/>
          <w:sz w:val="20"/>
          <w:szCs w:val="20"/>
        </w:rPr>
        <w:footnoteRef/>
      </w:r>
      <w:r>
        <w:rPr>
          <w:rFonts w:ascii="Times New Roman" w:hAnsi="Times New Roman"/>
          <w:sz w:val="20"/>
          <w:szCs w:val="20"/>
        </w:rPr>
        <w:t xml:space="preserve"> </w:t>
      </w:r>
      <w:r>
        <w:rPr>
          <w:rFonts w:ascii="Times New Roman" w:hAnsi="Times New Roman"/>
          <w:i/>
          <w:sz w:val="20"/>
          <w:szCs w:val="20"/>
        </w:rPr>
        <w:t>Id</w:t>
      </w:r>
      <w:r>
        <w:rPr>
          <w:rFonts w:ascii="Times New Roman" w:hAnsi="Times New Roman"/>
          <w:sz w:val="20"/>
          <w:szCs w:val="20"/>
        </w:rPr>
        <w:t>.</w:t>
      </w:r>
    </w:p>
  </w:footnote>
  <w:footnote w:id="35">
    <w:p w14:paraId="1AB582B3" w14:textId="4F5EC98F" w:rsidR="00765734" w:rsidRPr="00777B01" w:rsidRDefault="00765734" w:rsidP="00EE32A2">
      <w:pPr>
        <w:pStyle w:val="FootnoteText"/>
        <w:rPr>
          <w:rFonts w:ascii="Times New Roman" w:hAnsi="Times New Roman"/>
          <w:sz w:val="20"/>
          <w:szCs w:val="20"/>
        </w:rPr>
      </w:pPr>
      <w:r>
        <w:rPr>
          <w:rStyle w:val="FootnoteReference"/>
          <w:rFonts w:ascii="Times New Roman" w:hAnsi="Times New Roman"/>
          <w:sz w:val="20"/>
          <w:szCs w:val="20"/>
        </w:rPr>
        <w:footnoteRef/>
      </w:r>
      <w:r>
        <w:rPr>
          <w:rFonts w:ascii="Times New Roman" w:hAnsi="Times New Roman"/>
          <w:sz w:val="20"/>
          <w:szCs w:val="20"/>
        </w:rPr>
        <w:t xml:space="preserve"> 42 U.S.C. </w:t>
      </w:r>
      <w:r>
        <w:rPr>
          <w:rFonts w:ascii="Times New Roman" w:hAnsi="Times New Roman" w:cs="Times New Roman"/>
          <w:sz w:val="20"/>
          <w:szCs w:val="20"/>
        </w:rPr>
        <w:t>§</w:t>
      </w:r>
      <w:r>
        <w:rPr>
          <w:rFonts w:ascii="Times New Roman" w:hAnsi="Times New Roman"/>
          <w:sz w:val="20"/>
          <w:szCs w:val="20"/>
        </w:rPr>
        <w:t xml:space="preserve"> 4332 (1970).</w:t>
      </w:r>
    </w:p>
  </w:footnote>
  <w:footnote w:id="36">
    <w:p w14:paraId="4063DE2D" w14:textId="6E393452" w:rsidR="00765734" w:rsidRDefault="00765734" w:rsidP="00EE32A2">
      <w:pPr>
        <w:pStyle w:val="FootnoteText"/>
        <w:rPr>
          <w:rFonts w:ascii="Times New Roman" w:hAnsi="Times New Roman"/>
          <w:sz w:val="20"/>
          <w:szCs w:val="20"/>
        </w:rPr>
      </w:pPr>
      <w:r>
        <w:rPr>
          <w:rStyle w:val="FootnoteReference"/>
          <w:rFonts w:ascii="Times New Roman" w:hAnsi="Times New Roman"/>
          <w:sz w:val="20"/>
          <w:szCs w:val="20"/>
        </w:rPr>
        <w:footnoteRef/>
      </w:r>
      <w:r>
        <w:rPr>
          <w:rFonts w:ascii="Times New Roman" w:hAnsi="Times New Roman"/>
          <w:sz w:val="20"/>
          <w:szCs w:val="20"/>
        </w:rPr>
        <w:t xml:space="preserve"> 40 C.F.R. § 1501.3 (1978).</w:t>
      </w:r>
    </w:p>
  </w:footnote>
  <w:footnote w:id="37">
    <w:p w14:paraId="5860DF11" w14:textId="77777777" w:rsidR="00765734" w:rsidRDefault="00765734" w:rsidP="00675207">
      <w:pPr>
        <w:pStyle w:val="FootnoteText"/>
        <w:rPr>
          <w:rFonts w:ascii="Times New Roman" w:hAnsi="Times New Roman"/>
          <w:sz w:val="20"/>
          <w:szCs w:val="20"/>
        </w:rPr>
      </w:pPr>
      <w:r>
        <w:rPr>
          <w:rStyle w:val="FootnoteReference"/>
          <w:rFonts w:ascii="Times New Roman" w:hAnsi="Times New Roman"/>
          <w:sz w:val="20"/>
          <w:szCs w:val="20"/>
        </w:rPr>
        <w:footnoteRef/>
      </w:r>
      <w:r>
        <w:rPr>
          <w:rFonts w:ascii="Times New Roman" w:hAnsi="Times New Roman"/>
          <w:sz w:val="20"/>
          <w:szCs w:val="20"/>
        </w:rPr>
        <w:t xml:space="preserve"> 40 C.F.R. § 1500.2(b) (1978).</w:t>
      </w:r>
    </w:p>
  </w:footnote>
  <w:footnote w:id="38">
    <w:p w14:paraId="4370BBDD" w14:textId="77777777" w:rsidR="00765734" w:rsidRDefault="00765734" w:rsidP="00EE32A2">
      <w:pPr>
        <w:pStyle w:val="FootnoteText"/>
        <w:rPr>
          <w:rFonts w:ascii="Times New Roman" w:hAnsi="Times New Roman"/>
        </w:rPr>
      </w:pPr>
      <w:r>
        <w:rPr>
          <w:rStyle w:val="FootnoteReference"/>
          <w:rFonts w:ascii="Times New Roman" w:hAnsi="Times New Roman"/>
          <w:sz w:val="20"/>
          <w:szCs w:val="20"/>
        </w:rPr>
        <w:footnoteRef/>
      </w:r>
      <w:r>
        <w:rPr>
          <w:rFonts w:ascii="Times New Roman" w:hAnsi="Times New Roman"/>
          <w:sz w:val="20"/>
          <w:szCs w:val="20"/>
        </w:rPr>
        <w:t xml:space="preserve"> </w:t>
      </w:r>
      <w:r>
        <w:rPr>
          <w:rFonts w:ascii="Times New Roman" w:hAnsi="Times New Roman"/>
          <w:color w:val="1C1C1C"/>
          <w:sz w:val="20"/>
          <w:szCs w:val="20"/>
        </w:rPr>
        <w:t>40 C.F.R. § 1508.7 (1978).</w:t>
      </w:r>
    </w:p>
  </w:footnote>
  <w:footnote w:id="39">
    <w:p w14:paraId="56E3D66A" w14:textId="77777777" w:rsidR="00765734" w:rsidRDefault="00765734" w:rsidP="00EE32A2">
      <w:pPr>
        <w:pStyle w:val="FootnoteText"/>
        <w:rPr>
          <w:rFonts w:ascii="Times New Roman" w:hAnsi="Times New Roman"/>
          <w:sz w:val="20"/>
          <w:szCs w:val="20"/>
        </w:rPr>
      </w:pPr>
      <w:r>
        <w:rPr>
          <w:rStyle w:val="FootnoteReference"/>
          <w:rFonts w:ascii="Times New Roman" w:hAnsi="Times New Roman"/>
          <w:sz w:val="20"/>
          <w:szCs w:val="20"/>
        </w:rPr>
        <w:footnoteRef/>
      </w:r>
      <w:r>
        <w:rPr>
          <w:rFonts w:ascii="Times New Roman" w:hAnsi="Times New Roman"/>
          <w:sz w:val="20"/>
          <w:szCs w:val="20"/>
        </w:rPr>
        <w:t xml:space="preserve"> </w:t>
      </w:r>
      <w:r>
        <w:rPr>
          <w:rFonts w:ascii="Times New Roman" w:hAnsi="Times New Roman"/>
          <w:i/>
          <w:sz w:val="20"/>
          <w:szCs w:val="20"/>
        </w:rPr>
        <w:t>Id</w:t>
      </w:r>
      <w:r>
        <w:rPr>
          <w:rFonts w:ascii="Times New Roman" w:hAnsi="Times New Roman"/>
          <w:sz w:val="20"/>
          <w:szCs w:val="20"/>
        </w:rPr>
        <w:t>.</w:t>
      </w:r>
    </w:p>
  </w:footnote>
  <w:footnote w:id="40">
    <w:p w14:paraId="7DA58522" w14:textId="77777777" w:rsidR="00765734" w:rsidRDefault="00765734" w:rsidP="00EE32A2">
      <w:pPr>
        <w:pStyle w:val="FootnoteText"/>
        <w:rPr>
          <w:rFonts w:ascii="Times New Roman" w:hAnsi="Times New Roman"/>
          <w:sz w:val="20"/>
          <w:szCs w:val="20"/>
        </w:rPr>
      </w:pPr>
      <w:r>
        <w:rPr>
          <w:rStyle w:val="FootnoteReference"/>
          <w:rFonts w:ascii="Times New Roman" w:hAnsi="Times New Roman"/>
          <w:sz w:val="20"/>
          <w:szCs w:val="20"/>
        </w:rPr>
        <w:footnoteRef/>
      </w:r>
      <w:r>
        <w:rPr>
          <w:rFonts w:ascii="Times New Roman" w:hAnsi="Times New Roman"/>
          <w:sz w:val="20"/>
          <w:szCs w:val="20"/>
        </w:rPr>
        <w:t xml:space="preserve"> </w:t>
      </w:r>
      <w:r>
        <w:rPr>
          <w:rFonts w:ascii="Times New Roman" w:hAnsi="Times New Roman"/>
          <w:color w:val="1C1C1C"/>
          <w:sz w:val="20"/>
          <w:szCs w:val="20"/>
        </w:rPr>
        <w:t>40 C.F.R. § 1508.8 (1978).</w:t>
      </w:r>
    </w:p>
  </w:footnote>
  <w:footnote w:id="41">
    <w:p w14:paraId="51F16761" w14:textId="77777777" w:rsidR="00765734" w:rsidRDefault="00765734" w:rsidP="00EE32A2">
      <w:pPr>
        <w:pStyle w:val="FootnoteText"/>
        <w:rPr>
          <w:rFonts w:ascii="Times New Roman" w:hAnsi="Times New Roman"/>
          <w:sz w:val="20"/>
          <w:szCs w:val="20"/>
        </w:rPr>
      </w:pPr>
      <w:r>
        <w:rPr>
          <w:rStyle w:val="FootnoteReference"/>
          <w:rFonts w:ascii="Times New Roman" w:hAnsi="Times New Roman"/>
          <w:sz w:val="20"/>
          <w:szCs w:val="20"/>
        </w:rPr>
        <w:footnoteRef/>
      </w:r>
      <w:r>
        <w:rPr>
          <w:rFonts w:ascii="Times New Roman" w:hAnsi="Times New Roman"/>
          <w:sz w:val="20"/>
          <w:szCs w:val="20"/>
        </w:rPr>
        <w:t xml:space="preserve"> </w:t>
      </w:r>
      <w:r>
        <w:rPr>
          <w:rFonts w:ascii="Times New Roman" w:hAnsi="Times New Roman"/>
          <w:i/>
          <w:sz w:val="20"/>
          <w:szCs w:val="20"/>
        </w:rPr>
        <w:t>See</w:t>
      </w:r>
      <w:r>
        <w:rPr>
          <w:rFonts w:ascii="Times New Roman" w:hAnsi="Times New Roman"/>
          <w:sz w:val="20"/>
          <w:szCs w:val="20"/>
        </w:rPr>
        <w:t xml:space="preserve"> Courtney Schultz, </w:t>
      </w:r>
      <w:r>
        <w:rPr>
          <w:rFonts w:ascii="Times New Roman" w:hAnsi="Times New Roman"/>
          <w:i/>
          <w:sz w:val="20"/>
          <w:szCs w:val="20"/>
        </w:rPr>
        <w:t>History of the Cumulative Effects Analysis Requirement Under NEPA and Its Interpretation In the U.S. Forest Service Case Law</w:t>
      </w:r>
      <w:r>
        <w:rPr>
          <w:rFonts w:ascii="Times New Roman" w:hAnsi="Times New Roman"/>
          <w:sz w:val="20"/>
          <w:szCs w:val="20"/>
        </w:rPr>
        <w:t>, 27 J. Envtl. L. &amp; Litig. 125, 134 (2012).</w:t>
      </w:r>
    </w:p>
  </w:footnote>
  <w:footnote w:id="42">
    <w:p w14:paraId="3517E229" w14:textId="77777777" w:rsidR="00765734" w:rsidRDefault="00765734" w:rsidP="00EE32A2">
      <w:pPr>
        <w:pStyle w:val="FootnoteText"/>
        <w:rPr>
          <w:rFonts w:ascii="Times New Roman" w:hAnsi="Times New Roman"/>
          <w:sz w:val="20"/>
          <w:szCs w:val="20"/>
        </w:rPr>
      </w:pPr>
      <w:r>
        <w:rPr>
          <w:rStyle w:val="FootnoteReference"/>
          <w:rFonts w:ascii="Times New Roman" w:hAnsi="Times New Roman"/>
          <w:i/>
          <w:sz w:val="20"/>
          <w:szCs w:val="20"/>
        </w:rPr>
        <w:footnoteRef/>
      </w:r>
      <w:r>
        <w:rPr>
          <w:rFonts w:ascii="Times New Roman" w:hAnsi="Times New Roman"/>
          <w:i/>
          <w:sz w:val="20"/>
          <w:szCs w:val="20"/>
        </w:rPr>
        <w:t xml:space="preserve"> See generally </w:t>
      </w:r>
      <w:r>
        <w:rPr>
          <w:rFonts w:ascii="Times New Roman" w:hAnsi="Times New Roman"/>
          <w:sz w:val="20"/>
          <w:szCs w:val="20"/>
        </w:rPr>
        <w:t>FRIENDS at note 1.</w:t>
      </w:r>
    </w:p>
  </w:footnote>
  <w:footnote w:id="43">
    <w:p w14:paraId="1257AD7E" w14:textId="2BF3387A" w:rsidR="00765734" w:rsidRDefault="00765734" w:rsidP="001A765D">
      <w:pPr>
        <w:pStyle w:val="FootnoteText"/>
        <w:rPr>
          <w:rFonts w:ascii="Times New Roman" w:hAnsi="Times New Roman"/>
          <w:sz w:val="20"/>
          <w:szCs w:val="20"/>
        </w:rPr>
      </w:pPr>
      <w:r>
        <w:rPr>
          <w:rStyle w:val="FootnoteReference"/>
          <w:rFonts w:ascii="Times New Roman" w:hAnsi="Times New Roman"/>
          <w:sz w:val="20"/>
          <w:szCs w:val="20"/>
        </w:rPr>
        <w:footnoteRef/>
      </w:r>
      <w:r>
        <w:rPr>
          <w:rFonts w:ascii="Times New Roman" w:hAnsi="Times New Roman"/>
          <w:sz w:val="20"/>
          <w:szCs w:val="20"/>
        </w:rPr>
        <w:t xml:space="preserve"> </w:t>
      </w:r>
      <w:r w:rsidRPr="00DE7DF2">
        <w:rPr>
          <w:rFonts w:ascii="Times New Roman" w:hAnsi="Times New Roman"/>
          <w:color w:val="1C1C1C"/>
          <w:sz w:val="20"/>
          <w:szCs w:val="20"/>
        </w:rPr>
        <w:t>Te-Moak Tribe of Western Shoshone of Nevada v. U.S. Department of Interior</w:t>
      </w:r>
      <w:r>
        <w:rPr>
          <w:rFonts w:ascii="Times New Roman" w:hAnsi="Times New Roman"/>
          <w:color w:val="1C1C1C"/>
          <w:sz w:val="20"/>
          <w:szCs w:val="20"/>
        </w:rPr>
        <w:t xml:space="preserve">, </w:t>
      </w:r>
      <w:r>
        <w:rPr>
          <w:rFonts w:ascii="Times New Roman" w:hAnsi="Times New Roman"/>
          <w:sz w:val="20"/>
          <w:szCs w:val="20"/>
        </w:rPr>
        <w:t>608 F.3d 592, 597 (9</w:t>
      </w:r>
      <w:r w:rsidRPr="0032515C">
        <w:rPr>
          <w:rFonts w:ascii="Times New Roman" w:hAnsi="Times New Roman"/>
          <w:sz w:val="20"/>
          <w:szCs w:val="20"/>
          <w:vertAlign w:val="superscript"/>
        </w:rPr>
        <w:t>th</w:t>
      </w:r>
      <w:r>
        <w:rPr>
          <w:rFonts w:ascii="Times New Roman" w:hAnsi="Times New Roman"/>
          <w:sz w:val="20"/>
          <w:szCs w:val="20"/>
        </w:rPr>
        <w:t>Cir. 2010).</w:t>
      </w:r>
      <w:r w:rsidRPr="00675207">
        <w:rPr>
          <w:rFonts w:ascii="Times New Roman" w:hAnsi="Times New Roman"/>
          <w:i/>
          <w:color w:val="1C1C1C"/>
        </w:rPr>
        <w:t xml:space="preserve"> </w:t>
      </w:r>
      <w:r>
        <w:rPr>
          <w:rFonts w:ascii="Times New Roman" w:hAnsi="Times New Roman"/>
          <w:color w:val="1C1C1C"/>
          <w:sz w:val="20"/>
          <w:szCs w:val="20"/>
        </w:rPr>
        <w:t>[h</w:t>
      </w:r>
      <w:r w:rsidRPr="00675207">
        <w:rPr>
          <w:rFonts w:ascii="Times New Roman" w:hAnsi="Times New Roman"/>
          <w:color w:val="1C1C1C"/>
          <w:sz w:val="20"/>
          <w:szCs w:val="20"/>
        </w:rPr>
        <w:t xml:space="preserve">ereinafter, </w:t>
      </w:r>
      <w:r>
        <w:rPr>
          <w:rFonts w:ascii="Times New Roman" w:hAnsi="Times New Roman"/>
          <w:sz w:val="20"/>
          <w:szCs w:val="20"/>
        </w:rPr>
        <w:t>TE-MOAK</w:t>
      </w:r>
      <w:r w:rsidRPr="00675207">
        <w:rPr>
          <w:rFonts w:ascii="Times New Roman" w:hAnsi="Times New Roman"/>
          <w:sz w:val="20"/>
          <w:szCs w:val="20"/>
        </w:rPr>
        <w:t>]</w:t>
      </w:r>
      <w:r>
        <w:rPr>
          <w:rFonts w:ascii="Times New Roman" w:hAnsi="Times New Roman"/>
          <w:sz w:val="20"/>
          <w:szCs w:val="20"/>
        </w:rPr>
        <w:t>.</w:t>
      </w:r>
      <w:r w:rsidRPr="00675207">
        <w:rPr>
          <w:rFonts w:ascii="Times New Roman" w:hAnsi="Times New Roman"/>
          <w:sz w:val="20"/>
          <w:szCs w:val="20"/>
        </w:rPr>
        <w:t xml:space="preserve"> </w:t>
      </w:r>
    </w:p>
  </w:footnote>
  <w:footnote w:id="44">
    <w:p w14:paraId="48A7767E" w14:textId="77777777" w:rsidR="00765734" w:rsidRDefault="00765734" w:rsidP="001A765D">
      <w:pPr>
        <w:pStyle w:val="FootnoteText"/>
        <w:rPr>
          <w:rFonts w:ascii="Times New Roman" w:hAnsi="Times New Roman"/>
          <w:sz w:val="20"/>
          <w:szCs w:val="20"/>
        </w:rPr>
      </w:pPr>
      <w:r>
        <w:rPr>
          <w:rStyle w:val="FootnoteReference"/>
          <w:rFonts w:ascii="Times New Roman" w:hAnsi="Times New Roman"/>
          <w:sz w:val="20"/>
          <w:szCs w:val="20"/>
        </w:rPr>
        <w:footnoteRef/>
      </w:r>
      <w:r>
        <w:rPr>
          <w:rFonts w:ascii="Times New Roman" w:hAnsi="Times New Roman"/>
          <w:sz w:val="20"/>
          <w:szCs w:val="20"/>
        </w:rPr>
        <w:t xml:space="preserve"> </w:t>
      </w:r>
      <w:r>
        <w:rPr>
          <w:rFonts w:ascii="Times New Roman" w:hAnsi="Times New Roman"/>
          <w:i/>
          <w:sz w:val="20"/>
          <w:szCs w:val="20"/>
        </w:rPr>
        <w:t>Id</w:t>
      </w:r>
      <w:r>
        <w:rPr>
          <w:rFonts w:ascii="Times New Roman" w:hAnsi="Times New Roman"/>
          <w:sz w:val="20"/>
          <w:szCs w:val="20"/>
        </w:rPr>
        <w:t>.</w:t>
      </w:r>
    </w:p>
  </w:footnote>
  <w:footnote w:id="45">
    <w:p w14:paraId="5F4FE479" w14:textId="7E9F558A" w:rsidR="00765734" w:rsidRDefault="00765734" w:rsidP="0032515C">
      <w:pPr>
        <w:pStyle w:val="FootnoteText"/>
        <w:rPr>
          <w:rFonts w:ascii="Times New Roman" w:hAnsi="Times New Roman"/>
          <w:sz w:val="20"/>
          <w:szCs w:val="20"/>
        </w:rPr>
      </w:pPr>
      <w:r>
        <w:rPr>
          <w:rStyle w:val="FootnoteReference"/>
          <w:rFonts w:ascii="Times New Roman" w:hAnsi="Times New Roman"/>
          <w:sz w:val="20"/>
          <w:szCs w:val="20"/>
        </w:rPr>
        <w:footnoteRef/>
      </w:r>
      <w:r>
        <w:rPr>
          <w:rFonts w:ascii="Times New Roman" w:hAnsi="Times New Roman"/>
          <w:sz w:val="20"/>
          <w:szCs w:val="20"/>
        </w:rPr>
        <w:t xml:space="preserve"> </w:t>
      </w:r>
      <w:r>
        <w:rPr>
          <w:rFonts w:ascii="Times New Roman" w:hAnsi="Times New Roman"/>
          <w:i/>
          <w:sz w:val="20"/>
          <w:szCs w:val="20"/>
        </w:rPr>
        <w:t>Id</w:t>
      </w:r>
      <w:r>
        <w:rPr>
          <w:rFonts w:ascii="Times New Roman" w:hAnsi="Times New Roman"/>
          <w:sz w:val="20"/>
          <w:szCs w:val="20"/>
        </w:rPr>
        <w:t>.</w:t>
      </w:r>
    </w:p>
  </w:footnote>
  <w:footnote w:id="46">
    <w:p w14:paraId="61B0DD18" w14:textId="77777777" w:rsidR="00765734" w:rsidRDefault="00765734" w:rsidP="001A765D">
      <w:pPr>
        <w:pStyle w:val="FootnoteText"/>
        <w:rPr>
          <w:rFonts w:ascii="Times New Roman" w:hAnsi="Times New Roman"/>
          <w:sz w:val="20"/>
          <w:szCs w:val="20"/>
        </w:rPr>
      </w:pPr>
      <w:r>
        <w:rPr>
          <w:rStyle w:val="FootnoteReference"/>
          <w:rFonts w:ascii="Times New Roman" w:hAnsi="Times New Roman"/>
          <w:sz w:val="20"/>
          <w:szCs w:val="20"/>
        </w:rPr>
        <w:footnoteRef/>
      </w:r>
      <w:r>
        <w:rPr>
          <w:rFonts w:ascii="Times New Roman" w:hAnsi="Times New Roman"/>
          <w:sz w:val="20"/>
          <w:szCs w:val="20"/>
        </w:rPr>
        <w:t xml:space="preserve"> </w:t>
      </w:r>
      <w:r>
        <w:rPr>
          <w:rFonts w:ascii="Times New Roman" w:hAnsi="Times New Roman"/>
          <w:i/>
          <w:sz w:val="20"/>
          <w:szCs w:val="20"/>
        </w:rPr>
        <w:t>Id</w:t>
      </w:r>
      <w:r>
        <w:rPr>
          <w:rFonts w:ascii="Times New Roman" w:hAnsi="Times New Roman"/>
          <w:sz w:val="20"/>
          <w:szCs w:val="20"/>
        </w:rPr>
        <w:t>.</w:t>
      </w:r>
    </w:p>
  </w:footnote>
  <w:footnote w:id="47">
    <w:p w14:paraId="591ED927" w14:textId="5A27D17D" w:rsidR="00765734" w:rsidRDefault="00765734" w:rsidP="001A765D">
      <w:pPr>
        <w:pStyle w:val="FootnoteText"/>
        <w:rPr>
          <w:rFonts w:ascii="Times New Roman" w:hAnsi="Times New Roman"/>
        </w:rPr>
      </w:pPr>
      <w:r>
        <w:rPr>
          <w:rStyle w:val="FootnoteReference"/>
          <w:rFonts w:ascii="Times New Roman" w:hAnsi="Times New Roman"/>
          <w:sz w:val="20"/>
          <w:szCs w:val="20"/>
        </w:rPr>
        <w:footnoteRef/>
      </w:r>
      <w:r>
        <w:rPr>
          <w:rFonts w:ascii="Times New Roman" w:hAnsi="Times New Roman"/>
        </w:rPr>
        <w:t xml:space="preserve"> </w:t>
      </w:r>
      <w:r>
        <w:rPr>
          <w:rFonts w:ascii="Times New Roman" w:hAnsi="Times New Roman"/>
          <w:sz w:val="20"/>
          <w:szCs w:val="20"/>
        </w:rPr>
        <w:t xml:space="preserve"> TE-MOAK, 608 F.3d at 598.</w:t>
      </w:r>
    </w:p>
  </w:footnote>
  <w:footnote w:id="48">
    <w:p w14:paraId="0F7D9B8A" w14:textId="77777777" w:rsidR="00765734" w:rsidRDefault="00765734" w:rsidP="001A765D">
      <w:pPr>
        <w:pStyle w:val="FootnoteText"/>
        <w:rPr>
          <w:rFonts w:ascii="Times New Roman" w:hAnsi="Times New Roman"/>
          <w:sz w:val="20"/>
          <w:szCs w:val="20"/>
        </w:rPr>
      </w:pPr>
      <w:r>
        <w:rPr>
          <w:rStyle w:val="FootnoteReference"/>
          <w:rFonts w:ascii="Times New Roman" w:hAnsi="Times New Roman"/>
          <w:sz w:val="20"/>
          <w:szCs w:val="20"/>
        </w:rPr>
        <w:footnoteRef/>
      </w:r>
      <w:r>
        <w:rPr>
          <w:rFonts w:ascii="Times New Roman" w:hAnsi="Times New Roman"/>
          <w:sz w:val="20"/>
          <w:szCs w:val="20"/>
        </w:rPr>
        <w:t xml:space="preserve"> </w:t>
      </w:r>
      <w:r>
        <w:rPr>
          <w:rFonts w:ascii="Times New Roman" w:hAnsi="Times New Roman"/>
          <w:i/>
          <w:sz w:val="20"/>
          <w:szCs w:val="20"/>
        </w:rPr>
        <w:t>Id</w:t>
      </w:r>
      <w:r>
        <w:rPr>
          <w:rFonts w:ascii="Times New Roman" w:hAnsi="Times New Roman"/>
          <w:sz w:val="20"/>
          <w:szCs w:val="20"/>
        </w:rPr>
        <w:t>. at 599.</w:t>
      </w:r>
    </w:p>
  </w:footnote>
  <w:footnote w:id="49">
    <w:p w14:paraId="60C4C5F6" w14:textId="77777777" w:rsidR="00765734" w:rsidRDefault="00765734" w:rsidP="001A765D">
      <w:pPr>
        <w:pStyle w:val="FootnoteText"/>
        <w:rPr>
          <w:rFonts w:ascii="Times New Roman" w:hAnsi="Times New Roman"/>
          <w:sz w:val="20"/>
          <w:szCs w:val="20"/>
        </w:rPr>
      </w:pPr>
      <w:r>
        <w:rPr>
          <w:rStyle w:val="FootnoteReference"/>
          <w:rFonts w:ascii="Times New Roman" w:hAnsi="Times New Roman"/>
          <w:sz w:val="20"/>
          <w:szCs w:val="20"/>
        </w:rPr>
        <w:footnoteRef/>
      </w:r>
      <w:r>
        <w:rPr>
          <w:rFonts w:ascii="Times New Roman" w:hAnsi="Times New Roman"/>
          <w:sz w:val="20"/>
          <w:szCs w:val="20"/>
        </w:rPr>
        <w:t xml:space="preserve"> </w:t>
      </w:r>
      <w:r>
        <w:rPr>
          <w:rFonts w:ascii="Times New Roman" w:hAnsi="Times New Roman"/>
          <w:i/>
          <w:sz w:val="20"/>
          <w:szCs w:val="20"/>
        </w:rPr>
        <w:t>See</w:t>
      </w:r>
      <w:r>
        <w:rPr>
          <w:rFonts w:ascii="Times New Roman" w:hAnsi="Times New Roman"/>
          <w:sz w:val="20"/>
          <w:szCs w:val="20"/>
        </w:rPr>
        <w:t xml:space="preserve"> TE-MOAK, 608 F.3d at 603 (quoting </w:t>
      </w:r>
      <w:r w:rsidRPr="00DE7DF2">
        <w:rPr>
          <w:rFonts w:ascii="Times New Roman" w:hAnsi="Times New Roman"/>
          <w:color w:val="1C1C1C"/>
          <w:sz w:val="20"/>
          <w:szCs w:val="20"/>
        </w:rPr>
        <w:t>Lands Council v. Powell</w:t>
      </w:r>
      <w:r>
        <w:rPr>
          <w:rFonts w:ascii="Times New Roman" w:hAnsi="Times New Roman"/>
          <w:color w:val="1C1C1C"/>
          <w:sz w:val="20"/>
          <w:szCs w:val="20"/>
        </w:rPr>
        <w:t xml:space="preserve"> 395 F.3d 1019,1028 (9thCir. 2005)).</w:t>
      </w:r>
    </w:p>
  </w:footnote>
  <w:footnote w:id="50">
    <w:p w14:paraId="77EB5D7C" w14:textId="77777777" w:rsidR="00765734" w:rsidRDefault="00765734" w:rsidP="001A765D">
      <w:pPr>
        <w:pStyle w:val="FootnoteText"/>
        <w:rPr>
          <w:rFonts w:ascii="Times New Roman" w:hAnsi="Times New Roman"/>
          <w:sz w:val="20"/>
          <w:szCs w:val="20"/>
        </w:rPr>
      </w:pPr>
      <w:r>
        <w:rPr>
          <w:rStyle w:val="FootnoteReference"/>
          <w:rFonts w:ascii="Times New Roman" w:hAnsi="Times New Roman"/>
          <w:sz w:val="20"/>
          <w:szCs w:val="20"/>
        </w:rPr>
        <w:footnoteRef/>
      </w:r>
      <w:r>
        <w:rPr>
          <w:rFonts w:ascii="Times New Roman" w:hAnsi="Times New Roman"/>
          <w:sz w:val="20"/>
          <w:szCs w:val="20"/>
        </w:rPr>
        <w:t xml:space="preserve"> </w:t>
      </w:r>
      <w:r>
        <w:rPr>
          <w:rFonts w:ascii="Times New Roman" w:hAnsi="Times New Roman"/>
          <w:i/>
          <w:sz w:val="20"/>
          <w:szCs w:val="20"/>
        </w:rPr>
        <w:t>Id</w:t>
      </w:r>
      <w:r>
        <w:rPr>
          <w:rFonts w:ascii="Times New Roman" w:hAnsi="Times New Roman"/>
          <w:sz w:val="20"/>
          <w:szCs w:val="20"/>
        </w:rPr>
        <w:t xml:space="preserve">. (quoting </w:t>
      </w:r>
      <w:r w:rsidRPr="00DE7DF2">
        <w:rPr>
          <w:rFonts w:ascii="Times New Roman" w:hAnsi="Times New Roman"/>
          <w:color w:val="1C1C1C"/>
          <w:sz w:val="20"/>
          <w:szCs w:val="20"/>
        </w:rPr>
        <w:t>Neighbors of Cuddy Mountain v. U.S. Forest Service</w:t>
      </w:r>
      <w:r>
        <w:rPr>
          <w:rFonts w:ascii="Times New Roman" w:hAnsi="Times New Roman"/>
          <w:color w:val="1C1C1C"/>
          <w:sz w:val="20"/>
          <w:szCs w:val="20"/>
        </w:rPr>
        <w:t>, 137 F.3d 1732, 1738 (9</w:t>
      </w:r>
      <w:r>
        <w:rPr>
          <w:rFonts w:ascii="Times New Roman" w:hAnsi="Times New Roman"/>
          <w:color w:val="1C1C1C"/>
          <w:sz w:val="20"/>
          <w:szCs w:val="20"/>
          <w:vertAlign w:val="superscript"/>
        </w:rPr>
        <w:t>th</w:t>
      </w:r>
      <w:r>
        <w:rPr>
          <w:rFonts w:ascii="Times New Roman" w:hAnsi="Times New Roman"/>
          <w:color w:val="1C1C1C"/>
          <w:sz w:val="20"/>
          <w:szCs w:val="20"/>
        </w:rPr>
        <w:t>Cir. 1998)).</w:t>
      </w:r>
    </w:p>
  </w:footnote>
  <w:footnote w:id="51">
    <w:p w14:paraId="1B6E4633" w14:textId="77777777" w:rsidR="00765734" w:rsidRDefault="00765734" w:rsidP="001A765D">
      <w:pPr>
        <w:pStyle w:val="FootnoteText"/>
        <w:rPr>
          <w:rFonts w:ascii="Times New Roman" w:hAnsi="Times New Roman"/>
          <w:sz w:val="20"/>
          <w:szCs w:val="20"/>
        </w:rPr>
      </w:pPr>
      <w:r>
        <w:rPr>
          <w:rStyle w:val="FootnoteReference"/>
          <w:rFonts w:ascii="Times New Roman" w:hAnsi="Times New Roman"/>
          <w:sz w:val="20"/>
          <w:szCs w:val="20"/>
        </w:rPr>
        <w:footnoteRef/>
      </w:r>
      <w:r>
        <w:rPr>
          <w:rFonts w:ascii="Times New Roman" w:hAnsi="Times New Roman"/>
          <w:sz w:val="20"/>
          <w:szCs w:val="20"/>
        </w:rPr>
        <w:t xml:space="preserve"> </w:t>
      </w:r>
      <w:r>
        <w:rPr>
          <w:rFonts w:ascii="Times New Roman" w:hAnsi="Times New Roman"/>
          <w:i/>
          <w:color w:val="1C1C1C"/>
          <w:sz w:val="20"/>
          <w:szCs w:val="20"/>
        </w:rPr>
        <w:t>Id</w:t>
      </w:r>
      <w:r>
        <w:rPr>
          <w:rFonts w:ascii="Times New Roman" w:hAnsi="Times New Roman"/>
          <w:color w:val="1C1C1C"/>
          <w:sz w:val="20"/>
          <w:szCs w:val="20"/>
        </w:rPr>
        <w:t xml:space="preserve">. </w:t>
      </w:r>
      <w:r>
        <w:rPr>
          <w:rFonts w:ascii="Times New Roman" w:hAnsi="Times New Roman"/>
          <w:sz w:val="20"/>
          <w:szCs w:val="20"/>
        </w:rPr>
        <w:t>(</w:t>
      </w:r>
      <w:r w:rsidRPr="00DE7DF2">
        <w:rPr>
          <w:rFonts w:ascii="Times New Roman" w:hAnsi="Times New Roman"/>
          <w:sz w:val="20"/>
          <w:szCs w:val="20"/>
        </w:rPr>
        <w:t xml:space="preserve">quoting </w:t>
      </w:r>
      <w:r w:rsidRPr="00DE7DF2">
        <w:rPr>
          <w:rFonts w:ascii="Times New Roman" w:hAnsi="Times New Roman"/>
          <w:color w:val="1C1C1C"/>
          <w:sz w:val="20"/>
          <w:szCs w:val="20"/>
        </w:rPr>
        <w:t>Neighbors of Cuddy Mountain v. U.S. Forest Service,</w:t>
      </w:r>
      <w:r>
        <w:rPr>
          <w:rFonts w:ascii="Times New Roman" w:hAnsi="Times New Roman"/>
          <w:color w:val="1C1C1C"/>
          <w:sz w:val="20"/>
          <w:szCs w:val="20"/>
        </w:rPr>
        <w:t xml:space="preserve"> 137 F.3d 1732, 1739 (9</w:t>
      </w:r>
      <w:r>
        <w:rPr>
          <w:rFonts w:ascii="Times New Roman" w:hAnsi="Times New Roman"/>
          <w:color w:val="1C1C1C"/>
          <w:sz w:val="20"/>
          <w:szCs w:val="20"/>
          <w:vertAlign w:val="superscript"/>
        </w:rPr>
        <w:t>th</w:t>
      </w:r>
      <w:r>
        <w:rPr>
          <w:rFonts w:ascii="Times New Roman" w:hAnsi="Times New Roman"/>
          <w:color w:val="1C1C1C"/>
          <w:sz w:val="20"/>
          <w:szCs w:val="20"/>
        </w:rPr>
        <w:t>Cir. 1998)).</w:t>
      </w:r>
    </w:p>
  </w:footnote>
  <w:footnote w:id="52">
    <w:p w14:paraId="7087D895" w14:textId="77777777" w:rsidR="00765734" w:rsidRDefault="00765734" w:rsidP="001A765D">
      <w:pPr>
        <w:pStyle w:val="FootnoteText"/>
        <w:rPr>
          <w:rFonts w:ascii="Times New Roman" w:hAnsi="Times New Roman"/>
          <w:sz w:val="20"/>
          <w:szCs w:val="20"/>
        </w:rPr>
      </w:pPr>
      <w:r>
        <w:rPr>
          <w:rStyle w:val="FootnoteReference"/>
          <w:rFonts w:ascii="Times New Roman" w:hAnsi="Times New Roman"/>
          <w:sz w:val="20"/>
          <w:szCs w:val="20"/>
        </w:rPr>
        <w:footnoteRef/>
      </w:r>
      <w:r>
        <w:rPr>
          <w:rFonts w:ascii="Times New Roman" w:hAnsi="Times New Roman"/>
          <w:sz w:val="20"/>
          <w:szCs w:val="20"/>
        </w:rPr>
        <w:t xml:space="preserve"> </w:t>
      </w:r>
      <w:r>
        <w:rPr>
          <w:rFonts w:ascii="Times New Roman" w:hAnsi="Times New Roman"/>
          <w:i/>
          <w:color w:val="1C1C1C"/>
          <w:sz w:val="20"/>
          <w:szCs w:val="20"/>
        </w:rPr>
        <w:t>Id</w:t>
      </w:r>
      <w:r>
        <w:rPr>
          <w:rFonts w:ascii="Times New Roman" w:hAnsi="Times New Roman"/>
          <w:color w:val="1C1C1C"/>
          <w:sz w:val="20"/>
          <w:szCs w:val="20"/>
        </w:rPr>
        <w:t>. at 604.</w:t>
      </w:r>
    </w:p>
  </w:footnote>
  <w:footnote w:id="53">
    <w:p w14:paraId="268CC5F7" w14:textId="77777777" w:rsidR="00765734" w:rsidRDefault="00765734" w:rsidP="001A765D">
      <w:pPr>
        <w:pStyle w:val="FootnoteText"/>
        <w:rPr>
          <w:rFonts w:ascii="Times New Roman" w:hAnsi="Times New Roman"/>
          <w:sz w:val="20"/>
          <w:szCs w:val="20"/>
        </w:rPr>
      </w:pPr>
      <w:r>
        <w:rPr>
          <w:rStyle w:val="FootnoteReference"/>
          <w:rFonts w:ascii="Times New Roman" w:hAnsi="Times New Roman"/>
          <w:sz w:val="20"/>
          <w:szCs w:val="20"/>
        </w:rPr>
        <w:footnoteRef/>
      </w:r>
      <w:r>
        <w:rPr>
          <w:rFonts w:ascii="Times New Roman" w:hAnsi="Times New Roman"/>
          <w:sz w:val="20"/>
          <w:szCs w:val="20"/>
        </w:rPr>
        <w:t xml:space="preserve"> </w:t>
      </w:r>
      <w:r>
        <w:rPr>
          <w:rFonts w:ascii="Times New Roman" w:hAnsi="Times New Roman"/>
          <w:i/>
          <w:color w:val="1C1C1C"/>
          <w:sz w:val="20"/>
          <w:szCs w:val="20"/>
        </w:rPr>
        <w:t>Id</w:t>
      </w:r>
      <w:r>
        <w:rPr>
          <w:rFonts w:ascii="Times New Roman" w:hAnsi="Times New Roman"/>
          <w:color w:val="1C1C1C"/>
          <w:sz w:val="20"/>
          <w:szCs w:val="20"/>
        </w:rPr>
        <w:t>.</w:t>
      </w:r>
    </w:p>
  </w:footnote>
  <w:footnote w:id="54">
    <w:p w14:paraId="019355B3" w14:textId="77777777" w:rsidR="00765734" w:rsidRDefault="00765734" w:rsidP="001A765D">
      <w:pPr>
        <w:pStyle w:val="FootnoteText"/>
        <w:rPr>
          <w:rFonts w:ascii="Times New Roman" w:hAnsi="Times New Roman"/>
          <w:sz w:val="20"/>
          <w:szCs w:val="20"/>
        </w:rPr>
      </w:pPr>
      <w:r>
        <w:rPr>
          <w:rStyle w:val="FootnoteReference"/>
          <w:rFonts w:ascii="Times New Roman" w:hAnsi="Times New Roman"/>
          <w:sz w:val="20"/>
          <w:szCs w:val="20"/>
        </w:rPr>
        <w:footnoteRef/>
      </w:r>
      <w:r>
        <w:rPr>
          <w:rFonts w:ascii="Times New Roman" w:hAnsi="Times New Roman"/>
          <w:sz w:val="20"/>
          <w:szCs w:val="20"/>
        </w:rPr>
        <w:t xml:space="preserve"> </w:t>
      </w:r>
      <w:r>
        <w:rPr>
          <w:rFonts w:ascii="Times New Roman" w:hAnsi="Times New Roman"/>
          <w:i/>
          <w:color w:val="1C1C1C"/>
          <w:sz w:val="20"/>
          <w:szCs w:val="20"/>
        </w:rPr>
        <w:t>Id</w:t>
      </w:r>
      <w:r>
        <w:rPr>
          <w:rFonts w:ascii="Times New Roman" w:hAnsi="Times New Roman"/>
          <w:color w:val="1C1C1C"/>
          <w:sz w:val="20"/>
          <w:szCs w:val="20"/>
        </w:rPr>
        <w:t>.</w:t>
      </w:r>
    </w:p>
  </w:footnote>
  <w:footnote w:id="55">
    <w:p w14:paraId="0C4B53A7" w14:textId="77777777" w:rsidR="00765734" w:rsidRDefault="00765734" w:rsidP="001A765D">
      <w:pPr>
        <w:pStyle w:val="FootnoteText"/>
        <w:rPr>
          <w:rFonts w:ascii="Times New Roman" w:hAnsi="Times New Roman"/>
        </w:rPr>
      </w:pPr>
      <w:r>
        <w:rPr>
          <w:rStyle w:val="FootnoteReference"/>
          <w:rFonts w:ascii="Times New Roman" w:hAnsi="Times New Roman"/>
          <w:sz w:val="20"/>
          <w:szCs w:val="20"/>
        </w:rPr>
        <w:footnoteRef/>
      </w:r>
      <w:r>
        <w:rPr>
          <w:rFonts w:ascii="Times New Roman" w:hAnsi="Times New Roman"/>
        </w:rPr>
        <w:t xml:space="preserve"> </w:t>
      </w:r>
      <w:r>
        <w:rPr>
          <w:rFonts w:ascii="Times New Roman" w:hAnsi="Times New Roman"/>
          <w:i/>
          <w:sz w:val="20"/>
          <w:szCs w:val="20"/>
        </w:rPr>
        <w:t>See</w:t>
      </w:r>
      <w:r>
        <w:rPr>
          <w:rFonts w:ascii="Times New Roman" w:hAnsi="Times New Roman"/>
          <w:sz w:val="20"/>
          <w:szCs w:val="20"/>
        </w:rPr>
        <w:t xml:space="preserve"> TE-MOAK, 608 F.3d at 606.</w:t>
      </w:r>
    </w:p>
  </w:footnote>
  <w:footnote w:id="56">
    <w:p w14:paraId="704C0447" w14:textId="0CB8D6A9" w:rsidR="00765734" w:rsidRDefault="00765734" w:rsidP="00EE32A2">
      <w:pPr>
        <w:pStyle w:val="FootnoteText"/>
        <w:rPr>
          <w:rFonts w:ascii="Times New Roman" w:hAnsi="Times New Roman"/>
          <w:sz w:val="20"/>
          <w:szCs w:val="20"/>
        </w:rPr>
      </w:pPr>
      <w:r>
        <w:rPr>
          <w:rStyle w:val="FootnoteReference"/>
          <w:rFonts w:ascii="Times New Roman" w:hAnsi="Times New Roman"/>
          <w:sz w:val="20"/>
          <w:szCs w:val="20"/>
        </w:rPr>
        <w:footnoteRef/>
      </w:r>
      <w:r>
        <w:rPr>
          <w:rFonts w:ascii="Times New Roman" w:hAnsi="Times New Roman"/>
          <w:sz w:val="20"/>
          <w:szCs w:val="20"/>
        </w:rPr>
        <w:t xml:space="preserve"> </w:t>
      </w:r>
      <w:r w:rsidRPr="00DE7DF2">
        <w:rPr>
          <w:rFonts w:ascii="Times New Roman" w:hAnsi="Times New Roman" w:cs="Times New Roman"/>
          <w:color w:val="1C1C1C"/>
          <w:sz w:val="20"/>
          <w:szCs w:val="20"/>
        </w:rPr>
        <w:t>Center for Environmental Law and Policy v. United States Bureau of Reclamation</w:t>
      </w:r>
      <w:r>
        <w:rPr>
          <w:rFonts w:ascii="Times New Roman" w:hAnsi="Times New Roman"/>
          <w:sz w:val="20"/>
          <w:szCs w:val="20"/>
        </w:rPr>
        <w:t xml:space="preserve"> 655 F.3d 1000, 1003 (9thCir. 2011) [hereinafter, CELP].</w:t>
      </w:r>
    </w:p>
  </w:footnote>
  <w:footnote w:id="57">
    <w:p w14:paraId="2F4CF947" w14:textId="77777777" w:rsidR="00765734" w:rsidRDefault="00765734" w:rsidP="00EE32A2">
      <w:pPr>
        <w:pStyle w:val="FootnoteText"/>
        <w:rPr>
          <w:rFonts w:ascii="Times New Roman" w:hAnsi="Times New Roman"/>
          <w:sz w:val="20"/>
          <w:szCs w:val="20"/>
        </w:rPr>
      </w:pPr>
      <w:r>
        <w:rPr>
          <w:rStyle w:val="FootnoteReference"/>
          <w:rFonts w:ascii="Times New Roman" w:hAnsi="Times New Roman"/>
          <w:sz w:val="20"/>
          <w:szCs w:val="20"/>
        </w:rPr>
        <w:footnoteRef/>
      </w:r>
      <w:r>
        <w:rPr>
          <w:rFonts w:ascii="Times New Roman" w:hAnsi="Times New Roman"/>
          <w:sz w:val="20"/>
          <w:szCs w:val="20"/>
        </w:rPr>
        <w:t xml:space="preserve"> </w:t>
      </w:r>
      <w:r>
        <w:rPr>
          <w:rFonts w:ascii="Times New Roman" w:hAnsi="Times New Roman"/>
          <w:i/>
          <w:sz w:val="20"/>
          <w:szCs w:val="20"/>
        </w:rPr>
        <w:t>Id</w:t>
      </w:r>
      <w:r>
        <w:rPr>
          <w:rFonts w:ascii="Times New Roman" w:hAnsi="Times New Roman"/>
          <w:sz w:val="20"/>
          <w:szCs w:val="20"/>
        </w:rPr>
        <w:t>. at 1004</w:t>
      </w:r>
    </w:p>
  </w:footnote>
  <w:footnote w:id="58">
    <w:p w14:paraId="3703D868" w14:textId="77777777" w:rsidR="00765734" w:rsidRDefault="00765734" w:rsidP="00EE32A2">
      <w:pPr>
        <w:pStyle w:val="FootnoteText"/>
        <w:rPr>
          <w:rFonts w:ascii="Times New Roman" w:hAnsi="Times New Roman"/>
          <w:sz w:val="20"/>
          <w:szCs w:val="20"/>
        </w:rPr>
      </w:pPr>
      <w:r>
        <w:rPr>
          <w:rStyle w:val="FootnoteReference"/>
          <w:rFonts w:ascii="Times New Roman" w:hAnsi="Times New Roman"/>
          <w:sz w:val="20"/>
          <w:szCs w:val="20"/>
        </w:rPr>
        <w:footnoteRef/>
      </w:r>
      <w:r>
        <w:rPr>
          <w:rFonts w:ascii="Times New Roman" w:hAnsi="Times New Roman"/>
          <w:sz w:val="20"/>
          <w:szCs w:val="20"/>
        </w:rPr>
        <w:t xml:space="preserve"> </w:t>
      </w:r>
      <w:r>
        <w:rPr>
          <w:rFonts w:ascii="Times New Roman" w:hAnsi="Times New Roman"/>
          <w:i/>
          <w:sz w:val="20"/>
          <w:szCs w:val="20"/>
        </w:rPr>
        <w:t>Id</w:t>
      </w:r>
      <w:r>
        <w:rPr>
          <w:rFonts w:ascii="Times New Roman" w:hAnsi="Times New Roman"/>
          <w:sz w:val="20"/>
          <w:szCs w:val="20"/>
        </w:rPr>
        <w:t>. at 1004-1005.</w:t>
      </w:r>
    </w:p>
  </w:footnote>
  <w:footnote w:id="59">
    <w:p w14:paraId="2991EFCA" w14:textId="77777777" w:rsidR="00765734" w:rsidRDefault="00765734" w:rsidP="00EE32A2">
      <w:pPr>
        <w:pStyle w:val="FootnoteText"/>
        <w:rPr>
          <w:rFonts w:ascii="Times New Roman" w:hAnsi="Times New Roman"/>
          <w:sz w:val="20"/>
          <w:szCs w:val="20"/>
        </w:rPr>
      </w:pPr>
      <w:r>
        <w:rPr>
          <w:rStyle w:val="FootnoteReference"/>
          <w:rFonts w:ascii="Times New Roman" w:hAnsi="Times New Roman"/>
          <w:sz w:val="20"/>
          <w:szCs w:val="20"/>
        </w:rPr>
        <w:footnoteRef/>
      </w:r>
      <w:r>
        <w:rPr>
          <w:rFonts w:ascii="Times New Roman" w:hAnsi="Times New Roman"/>
          <w:sz w:val="20"/>
          <w:szCs w:val="20"/>
        </w:rPr>
        <w:t xml:space="preserve"> </w:t>
      </w:r>
      <w:r>
        <w:rPr>
          <w:rFonts w:ascii="Times New Roman" w:hAnsi="Times New Roman"/>
          <w:i/>
          <w:sz w:val="20"/>
          <w:szCs w:val="20"/>
        </w:rPr>
        <w:t>Id</w:t>
      </w:r>
      <w:r>
        <w:rPr>
          <w:rFonts w:ascii="Times New Roman" w:hAnsi="Times New Roman"/>
          <w:sz w:val="20"/>
          <w:szCs w:val="20"/>
        </w:rPr>
        <w:t>. at 1007.</w:t>
      </w:r>
    </w:p>
  </w:footnote>
  <w:footnote w:id="60">
    <w:p w14:paraId="5EA8E256" w14:textId="77777777" w:rsidR="00765734" w:rsidRDefault="00765734" w:rsidP="00EE32A2">
      <w:pPr>
        <w:pStyle w:val="FootnoteText"/>
        <w:rPr>
          <w:rFonts w:ascii="Times New Roman" w:hAnsi="Times New Roman"/>
          <w:sz w:val="20"/>
          <w:szCs w:val="20"/>
        </w:rPr>
      </w:pPr>
      <w:r>
        <w:rPr>
          <w:rStyle w:val="FootnoteReference"/>
          <w:rFonts w:ascii="Times New Roman" w:hAnsi="Times New Roman"/>
          <w:sz w:val="20"/>
          <w:szCs w:val="20"/>
        </w:rPr>
        <w:footnoteRef/>
      </w:r>
      <w:r>
        <w:rPr>
          <w:rFonts w:ascii="Times New Roman" w:hAnsi="Times New Roman"/>
          <w:sz w:val="20"/>
          <w:szCs w:val="20"/>
        </w:rPr>
        <w:t xml:space="preserve"> </w:t>
      </w:r>
      <w:r>
        <w:rPr>
          <w:rFonts w:ascii="Times New Roman" w:hAnsi="Times New Roman"/>
          <w:i/>
          <w:sz w:val="20"/>
          <w:szCs w:val="20"/>
        </w:rPr>
        <w:t>Id</w:t>
      </w:r>
      <w:r>
        <w:rPr>
          <w:rFonts w:ascii="Times New Roman" w:hAnsi="Times New Roman"/>
          <w:sz w:val="20"/>
          <w:szCs w:val="20"/>
        </w:rPr>
        <w:t>.</w:t>
      </w:r>
    </w:p>
  </w:footnote>
  <w:footnote w:id="61">
    <w:p w14:paraId="0FFFE1CD" w14:textId="77777777" w:rsidR="00765734" w:rsidRDefault="00765734" w:rsidP="00EE32A2">
      <w:pPr>
        <w:pStyle w:val="FootnoteText"/>
        <w:rPr>
          <w:sz w:val="20"/>
          <w:szCs w:val="20"/>
        </w:rPr>
      </w:pPr>
      <w:r>
        <w:rPr>
          <w:rStyle w:val="FootnoteReference"/>
          <w:rFonts w:ascii="Times New Roman" w:hAnsi="Times New Roman"/>
          <w:sz w:val="20"/>
          <w:szCs w:val="20"/>
        </w:rPr>
        <w:footnoteRef/>
      </w:r>
      <w:r>
        <w:rPr>
          <w:rFonts w:ascii="Times New Roman" w:hAnsi="Times New Roman"/>
          <w:sz w:val="20"/>
          <w:szCs w:val="20"/>
        </w:rPr>
        <w:t xml:space="preserve"> </w:t>
      </w:r>
      <w:r>
        <w:rPr>
          <w:rFonts w:ascii="Times New Roman" w:hAnsi="Times New Roman"/>
          <w:i/>
          <w:sz w:val="20"/>
          <w:szCs w:val="20"/>
        </w:rPr>
        <w:t>Id</w:t>
      </w:r>
      <w:r>
        <w:rPr>
          <w:rFonts w:ascii="Times New Roman" w:hAnsi="Times New Roman"/>
          <w:sz w:val="20"/>
          <w:szCs w:val="20"/>
        </w:rPr>
        <w:t>.</w:t>
      </w:r>
    </w:p>
  </w:footnote>
  <w:footnote w:id="62">
    <w:p w14:paraId="66861FCE" w14:textId="77777777" w:rsidR="00765734" w:rsidRDefault="00765734" w:rsidP="00EE32A2">
      <w:pPr>
        <w:pStyle w:val="FootnoteText"/>
        <w:rPr>
          <w:rFonts w:ascii="Times New Roman" w:hAnsi="Times New Roman"/>
        </w:rPr>
      </w:pPr>
      <w:r>
        <w:rPr>
          <w:rStyle w:val="FootnoteReference"/>
          <w:rFonts w:ascii="Times New Roman" w:hAnsi="Times New Roman"/>
          <w:sz w:val="20"/>
          <w:szCs w:val="20"/>
        </w:rPr>
        <w:footnoteRef/>
      </w:r>
      <w:r>
        <w:rPr>
          <w:rFonts w:ascii="Times New Roman" w:hAnsi="Times New Roman"/>
        </w:rPr>
        <w:t xml:space="preserve"> </w:t>
      </w:r>
      <w:r>
        <w:rPr>
          <w:rFonts w:ascii="Times New Roman" w:hAnsi="Times New Roman"/>
          <w:i/>
          <w:sz w:val="20"/>
          <w:szCs w:val="20"/>
        </w:rPr>
        <w:t>See</w:t>
      </w:r>
      <w:r>
        <w:rPr>
          <w:rFonts w:ascii="Times New Roman" w:hAnsi="Times New Roman"/>
          <w:i/>
        </w:rPr>
        <w:t xml:space="preserve"> </w:t>
      </w:r>
      <w:r>
        <w:rPr>
          <w:rFonts w:ascii="Times New Roman" w:hAnsi="Times New Roman"/>
          <w:sz w:val="20"/>
          <w:szCs w:val="20"/>
        </w:rPr>
        <w:t>CELP, 655 F.3d at 1007.</w:t>
      </w:r>
    </w:p>
  </w:footnote>
  <w:footnote w:id="63">
    <w:p w14:paraId="427F13BA" w14:textId="77777777" w:rsidR="00765734" w:rsidRDefault="00765734" w:rsidP="00EE32A2">
      <w:pPr>
        <w:pStyle w:val="FootnoteText"/>
        <w:rPr>
          <w:rFonts w:ascii="Times New Roman" w:hAnsi="Times New Roman"/>
          <w:sz w:val="20"/>
          <w:szCs w:val="20"/>
        </w:rPr>
      </w:pPr>
      <w:r>
        <w:rPr>
          <w:rStyle w:val="FootnoteReference"/>
          <w:rFonts w:ascii="Times New Roman" w:hAnsi="Times New Roman"/>
          <w:sz w:val="20"/>
          <w:szCs w:val="20"/>
        </w:rPr>
        <w:footnoteRef/>
      </w:r>
      <w:r>
        <w:rPr>
          <w:rFonts w:ascii="Times New Roman" w:hAnsi="Times New Roman"/>
          <w:sz w:val="20"/>
          <w:szCs w:val="20"/>
        </w:rPr>
        <w:t xml:space="preserve"> </w:t>
      </w:r>
      <w:r>
        <w:rPr>
          <w:rFonts w:ascii="Times New Roman" w:hAnsi="Times New Roman"/>
          <w:i/>
          <w:sz w:val="20"/>
          <w:szCs w:val="20"/>
        </w:rPr>
        <w:t>Id</w:t>
      </w:r>
      <w:r>
        <w:rPr>
          <w:rFonts w:ascii="Times New Roman" w:hAnsi="Times New Roman"/>
          <w:sz w:val="20"/>
          <w:szCs w:val="20"/>
        </w:rPr>
        <w:t>.</w:t>
      </w:r>
    </w:p>
  </w:footnote>
  <w:footnote w:id="64">
    <w:p w14:paraId="2024A402" w14:textId="77777777" w:rsidR="00765734" w:rsidRDefault="00765734" w:rsidP="00EE32A2">
      <w:pPr>
        <w:pStyle w:val="FootnoteText"/>
        <w:rPr>
          <w:rFonts w:ascii="Times New Roman" w:hAnsi="Times New Roman"/>
          <w:sz w:val="20"/>
          <w:szCs w:val="20"/>
        </w:rPr>
      </w:pPr>
      <w:r>
        <w:rPr>
          <w:rStyle w:val="FootnoteReference"/>
          <w:rFonts w:ascii="Times New Roman" w:hAnsi="Times New Roman"/>
          <w:sz w:val="20"/>
          <w:szCs w:val="20"/>
        </w:rPr>
        <w:footnoteRef/>
      </w:r>
      <w:r>
        <w:rPr>
          <w:rFonts w:ascii="Times New Roman" w:hAnsi="Times New Roman"/>
          <w:sz w:val="20"/>
          <w:szCs w:val="20"/>
        </w:rPr>
        <w:t xml:space="preserve"> </w:t>
      </w:r>
      <w:r>
        <w:rPr>
          <w:rFonts w:ascii="Times New Roman" w:hAnsi="Times New Roman"/>
          <w:i/>
          <w:sz w:val="20"/>
          <w:szCs w:val="20"/>
        </w:rPr>
        <w:t>Id</w:t>
      </w:r>
      <w:r>
        <w:rPr>
          <w:rFonts w:ascii="Times New Roman" w:hAnsi="Times New Roman"/>
          <w:sz w:val="20"/>
          <w:szCs w:val="20"/>
        </w:rPr>
        <w:t>.</w:t>
      </w:r>
    </w:p>
  </w:footnote>
  <w:footnote w:id="65">
    <w:p w14:paraId="12C30A51" w14:textId="368072D2" w:rsidR="00765734" w:rsidRDefault="00765734" w:rsidP="00362CB9">
      <w:pPr>
        <w:pStyle w:val="FootnoteText"/>
        <w:rPr>
          <w:rFonts w:ascii="Times New Roman" w:hAnsi="Times New Roman"/>
          <w:sz w:val="20"/>
          <w:szCs w:val="20"/>
        </w:rPr>
      </w:pPr>
      <w:r>
        <w:rPr>
          <w:rStyle w:val="FootnoteReference"/>
          <w:rFonts w:ascii="Times New Roman" w:hAnsi="Times New Roman"/>
          <w:sz w:val="20"/>
          <w:szCs w:val="20"/>
        </w:rPr>
        <w:footnoteRef/>
      </w:r>
      <w:r>
        <w:rPr>
          <w:rFonts w:ascii="Times New Roman" w:hAnsi="Times New Roman"/>
          <w:sz w:val="20"/>
          <w:szCs w:val="20"/>
        </w:rPr>
        <w:t xml:space="preserve"> </w:t>
      </w:r>
      <w:r w:rsidRPr="00DE7DF2">
        <w:rPr>
          <w:rFonts w:ascii="Times New Roman" w:hAnsi="Times New Roman"/>
          <w:iCs/>
          <w:sz w:val="20"/>
          <w:szCs w:val="20"/>
        </w:rPr>
        <w:t>Lands Council v. Powell</w:t>
      </w:r>
      <w:r>
        <w:rPr>
          <w:rFonts w:ascii="Times New Roman" w:hAnsi="Times New Roman"/>
          <w:i/>
          <w:iCs/>
          <w:sz w:val="20"/>
          <w:szCs w:val="20"/>
        </w:rPr>
        <w:t>,</w:t>
      </w:r>
      <w:r>
        <w:rPr>
          <w:rFonts w:ascii="Times New Roman" w:hAnsi="Times New Roman"/>
          <w:sz w:val="20"/>
          <w:szCs w:val="20"/>
        </w:rPr>
        <w:t xml:space="preserve"> 395 F.3d 1019, 1028 (9th Cir.2005) [hereinafter LANDS COUNCIL]</w:t>
      </w:r>
      <w:r w:rsidR="00150269">
        <w:rPr>
          <w:rFonts w:ascii="Times New Roman" w:hAnsi="Times New Roman"/>
          <w:sz w:val="20"/>
          <w:szCs w:val="20"/>
        </w:rPr>
        <w:t>.</w:t>
      </w:r>
    </w:p>
  </w:footnote>
  <w:footnote w:id="66">
    <w:p w14:paraId="06262457" w14:textId="77777777" w:rsidR="00765734" w:rsidRDefault="00765734" w:rsidP="005C25F5">
      <w:pPr>
        <w:pStyle w:val="FootnoteText"/>
        <w:rPr>
          <w:rFonts w:ascii="Times New Roman" w:hAnsi="Times New Roman"/>
          <w:sz w:val="20"/>
          <w:szCs w:val="20"/>
        </w:rPr>
      </w:pPr>
      <w:r>
        <w:rPr>
          <w:rStyle w:val="FootnoteReference"/>
          <w:rFonts w:ascii="Times New Roman" w:hAnsi="Times New Roman"/>
          <w:sz w:val="20"/>
          <w:szCs w:val="20"/>
        </w:rPr>
        <w:footnoteRef/>
      </w:r>
      <w:r>
        <w:rPr>
          <w:rFonts w:ascii="Times New Roman" w:hAnsi="Times New Roman"/>
          <w:sz w:val="20"/>
          <w:szCs w:val="20"/>
        </w:rPr>
        <w:t xml:space="preserve"> </w:t>
      </w:r>
      <w:r>
        <w:rPr>
          <w:rFonts w:ascii="Times New Roman" w:hAnsi="Times New Roman"/>
          <w:i/>
          <w:sz w:val="20"/>
          <w:szCs w:val="20"/>
        </w:rPr>
        <w:t>Id</w:t>
      </w:r>
      <w:r>
        <w:rPr>
          <w:rFonts w:ascii="Times New Roman" w:hAnsi="Times New Roman"/>
          <w:sz w:val="20"/>
          <w:szCs w:val="20"/>
        </w:rPr>
        <w:t xml:space="preserve">. </w:t>
      </w:r>
    </w:p>
  </w:footnote>
  <w:footnote w:id="67">
    <w:p w14:paraId="004CC399" w14:textId="77777777" w:rsidR="00765734" w:rsidRDefault="00765734" w:rsidP="005C25F5">
      <w:pPr>
        <w:pStyle w:val="FootnoteText"/>
        <w:rPr>
          <w:rFonts w:ascii="Times New Roman" w:hAnsi="Times New Roman"/>
        </w:rPr>
      </w:pPr>
      <w:r>
        <w:rPr>
          <w:rStyle w:val="FootnoteReference"/>
          <w:rFonts w:ascii="Times New Roman" w:hAnsi="Times New Roman"/>
          <w:sz w:val="20"/>
          <w:szCs w:val="20"/>
        </w:rPr>
        <w:footnoteRef/>
      </w:r>
      <w:r>
        <w:rPr>
          <w:rFonts w:ascii="Times New Roman" w:hAnsi="Times New Roman"/>
          <w:sz w:val="20"/>
          <w:szCs w:val="20"/>
        </w:rPr>
        <w:t xml:space="preserve"> </w:t>
      </w:r>
      <w:r>
        <w:rPr>
          <w:rFonts w:ascii="Times New Roman" w:hAnsi="Times New Roman"/>
          <w:i/>
          <w:sz w:val="20"/>
          <w:szCs w:val="20"/>
        </w:rPr>
        <w:t>Id</w:t>
      </w:r>
      <w:r>
        <w:rPr>
          <w:rFonts w:ascii="Times New Roman" w:hAnsi="Times New Roman"/>
          <w:sz w:val="20"/>
          <w:szCs w:val="20"/>
        </w:rPr>
        <w:t>. (emphasis added).</w:t>
      </w:r>
    </w:p>
  </w:footnote>
  <w:footnote w:id="68">
    <w:p w14:paraId="1BF87B95" w14:textId="77777777" w:rsidR="00765734" w:rsidRDefault="00765734" w:rsidP="005C25F5">
      <w:pPr>
        <w:pStyle w:val="FootnoteText"/>
        <w:rPr>
          <w:rFonts w:ascii="Times New Roman" w:hAnsi="Times New Roman"/>
          <w:sz w:val="20"/>
          <w:szCs w:val="20"/>
        </w:rPr>
      </w:pPr>
      <w:r>
        <w:rPr>
          <w:rStyle w:val="FootnoteReference"/>
          <w:rFonts w:ascii="Times New Roman" w:hAnsi="Times New Roman"/>
          <w:sz w:val="20"/>
          <w:szCs w:val="20"/>
        </w:rPr>
        <w:footnoteRef/>
      </w:r>
      <w:r>
        <w:rPr>
          <w:rFonts w:ascii="Times New Roman" w:hAnsi="Times New Roman"/>
          <w:sz w:val="20"/>
          <w:szCs w:val="20"/>
        </w:rPr>
        <w:t xml:space="preserve"> </w:t>
      </w:r>
      <w:r>
        <w:rPr>
          <w:rFonts w:ascii="Times New Roman" w:hAnsi="Times New Roman"/>
          <w:i/>
          <w:sz w:val="20"/>
          <w:szCs w:val="20"/>
        </w:rPr>
        <w:t>Id</w:t>
      </w:r>
      <w:r>
        <w:rPr>
          <w:rFonts w:ascii="Times New Roman" w:hAnsi="Times New Roman"/>
          <w:sz w:val="20"/>
          <w:szCs w:val="20"/>
        </w:rPr>
        <w:t>. at 1028.</w:t>
      </w:r>
    </w:p>
  </w:footnote>
  <w:footnote w:id="69">
    <w:p w14:paraId="26A9C30C" w14:textId="77777777" w:rsidR="00765734" w:rsidRDefault="00765734" w:rsidP="005C25F5">
      <w:pPr>
        <w:pStyle w:val="FootnoteText"/>
        <w:rPr>
          <w:rFonts w:ascii="Times New Roman" w:hAnsi="Times New Roman"/>
          <w:sz w:val="20"/>
          <w:szCs w:val="20"/>
        </w:rPr>
      </w:pPr>
      <w:r>
        <w:rPr>
          <w:rStyle w:val="FootnoteReference"/>
          <w:rFonts w:ascii="Times New Roman" w:hAnsi="Times New Roman"/>
          <w:sz w:val="20"/>
          <w:szCs w:val="20"/>
        </w:rPr>
        <w:footnoteRef/>
      </w:r>
      <w:r>
        <w:rPr>
          <w:rFonts w:ascii="Times New Roman" w:hAnsi="Times New Roman"/>
          <w:sz w:val="20"/>
          <w:szCs w:val="20"/>
        </w:rPr>
        <w:t xml:space="preserve"> Council on Environmental Quality, Executive Office of the President, </w:t>
      </w:r>
      <w:r>
        <w:rPr>
          <w:rFonts w:ascii="Times New Roman" w:hAnsi="Times New Roman"/>
          <w:i/>
          <w:sz w:val="20"/>
          <w:szCs w:val="20"/>
        </w:rPr>
        <w:t>Guidance on the Consideration of Past Cumulative Effects Analysis</w:t>
      </w:r>
      <w:r>
        <w:rPr>
          <w:rFonts w:ascii="Times New Roman" w:hAnsi="Times New Roman"/>
          <w:sz w:val="20"/>
          <w:szCs w:val="20"/>
        </w:rPr>
        <w:t xml:space="preserve"> (June 2005)[hereinafter GUIDANCE MEMORANDUM] </w:t>
      </w:r>
      <w:r>
        <w:rPr>
          <w:rFonts w:ascii="Times New Roman" w:hAnsi="Times New Roman"/>
          <w:i/>
          <w:sz w:val="20"/>
          <w:szCs w:val="20"/>
        </w:rPr>
        <w:t>available at</w:t>
      </w:r>
      <w:r>
        <w:rPr>
          <w:rFonts w:ascii="Times New Roman" w:hAnsi="Times New Roman"/>
          <w:sz w:val="20"/>
          <w:szCs w:val="20"/>
        </w:rPr>
        <w:t xml:space="preserve"> http://1.usa.gov/1bt7cdi.</w:t>
      </w:r>
    </w:p>
  </w:footnote>
  <w:footnote w:id="70">
    <w:p w14:paraId="59AC62E6" w14:textId="1B4D59A8" w:rsidR="00765734" w:rsidRDefault="00765734" w:rsidP="005C25F5">
      <w:pPr>
        <w:pStyle w:val="FootnoteText"/>
        <w:rPr>
          <w:rFonts w:ascii="Times New Roman" w:hAnsi="Times New Roman"/>
          <w:sz w:val="20"/>
          <w:szCs w:val="20"/>
        </w:rPr>
      </w:pPr>
      <w:r>
        <w:rPr>
          <w:rStyle w:val="FootnoteReference"/>
          <w:rFonts w:ascii="Times New Roman" w:hAnsi="Times New Roman"/>
          <w:sz w:val="20"/>
          <w:szCs w:val="20"/>
        </w:rPr>
        <w:footnoteRef/>
      </w:r>
      <w:r>
        <w:rPr>
          <w:rFonts w:ascii="Times New Roman" w:hAnsi="Times New Roman"/>
          <w:sz w:val="20"/>
          <w:szCs w:val="20"/>
        </w:rPr>
        <w:t xml:space="preserve"> </w:t>
      </w:r>
      <w:r w:rsidRPr="00DE7DF2">
        <w:rPr>
          <w:rFonts w:ascii="Times New Roman" w:hAnsi="Times New Roman"/>
          <w:sz w:val="20"/>
          <w:szCs w:val="20"/>
        </w:rPr>
        <w:t>League of Wilderness Defenders Blue Mountains Biodiversity Project v. US Forest Service,</w:t>
      </w:r>
      <w:r>
        <w:rPr>
          <w:rFonts w:ascii="Times New Roman" w:hAnsi="Times New Roman"/>
          <w:sz w:val="20"/>
          <w:szCs w:val="20"/>
        </w:rPr>
        <w:t xml:space="preserve"> 549 F.3d 1211 (9thCir. 2008) [hereinafter, LOWD] </w:t>
      </w:r>
      <w:r>
        <w:rPr>
          <w:rFonts w:ascii="Times New Roman" w:hAnsi="Times New Roman" w:cs="Times New Roman"/>
          <w:sz w:val="20"/>
          <w:szCs w:val="20"/>
        </w:rPr>
        <w:t xml:space="preserve">(clarifying that “to the extent that 40 C.F.R. § 1508.7 does not explicitly provide otherwise, the Forest Service is free to consider cumulative effects in the aggregate or to use any other procedure it deems appropriate. It is not for this court to tell the Forest Service what </w:t>
      </w:r>
      <w:r>
        <w:rPr>
          <w:rFonts w:ascii="Times New Roman" w:hAnsi="Times New Roman" w:cs="Times New Roman"/>
          <w:i/>
          <w:sz w:val="20"/>
          <w:szCs w:val="20"/>
        </w:rPr>
        <w:t>specific</w:t>
      </w:r>
      <w:r>
        <w:rPr>
          <w:rFonts w:ascii="Times New Roman" w:hAnsi="Times New Roman" w:cs="Times New Roman"/>
          <w:sz w:val="20"/>
          <w:szCs w:val="20"/>
        </w:rPr>
        <w:t xml:space="preserve"> evidence to include, nor how </w:t>
      </w:r>
      <w:r>
        <w:rPr>
          <w:rFonts w:ascii="Times New Roman" w:hAnsi="Times New Roman" w:cs="Times New Roman"/>
          <w:i/>
          <w:sz w:val="20"/>
          <w:szCs w:val="20"/>
        </w:rPr>
        <w:t>specifically</w:t>
      </w:r>
      <w:r>
        <w:rPr>
          <w:rFonts w:ascii="Times New Roman" w:hAnsi="Times New Roman" w:cs="Times New Roman"/>
          <w:sz w:val="20"/>
          <w:szCs w:val="20"/>
        </w:rPr>
        <w:t xml:space="preserve"> to present it.”)(Emphasis in the original).</w:t>
      </w:r>
    </w:p>
  </w:footnote>
  <w:footnote w:id="71">
    <w:p w14:paraId="455AEC98" w14:textId="78C1B562" w:rsidR="00765734" w:rsidRDefault="00765734" w:rsidP="005C25F5">
      <w:pPr>
        <w:pStyle w:val="FootnoteText"/>
        <w:rPr>
          <w:rFonts w:ascii="Times New Roman" w:hAnsi="Times New Roman"/>
          <w:sz w:val="20"/>
          <w:szCs w:val="20"/>
        </w:rPr>
      </w:pPr>
      <w:r>
        <w:rPr>
          <w:rStyle w:val="FootnoteReference"/>
          <w:rFonts w:ascii="Times New Roman" w:hAnsi="Times New Roman"/>
          <w:sz w:val="20"/>
          <w:szCs w:val="20"/>
        </w:rPr>
        <w:footnoteRef/>
      </w:r>
      <w:r>
        <w:rPr>
          <w:rFonts w:ascii="Times New Roman" w:hAnsi="Times New Roman"/>
          <w:sz w:val="20"/>
          <w:szCs w:val="20"/>
        </w:rPr>
        <w:t xml:space="preserve"> </w:t>
      </w:r>
      <w:r>
        <w:rPr>
          <w:rFonts w:ascii="Times New Roman" w:hAnsi="Times New Roman"/>
          <w:i/>
          <w:sz w:val="20"/>
          <w:szCs w:val="20"/>
        </w:rPr>
        <w:t>Id</w:t>
      </w:r>
      <w:r>
        <w:rPr>
          <w:rFonts w:ascii="Times New Roman" w:hAnsi="Times New Roman"/>
          <w:sz w:val="20"/>
          <w:szCs w:val="20"/>
        </w:rPr>
        <w:t>. at 1216</w:t>
      </w:r>
      <w:r w:rsidR="00150269">
        <w:rPr>
          <w:rFonts w:ascii="Times New Roman" w:hAnsi="Times New Roman"/>
          <w:sz w:val="20"/>
          <w:szCs w:val="20"/>
        </w:rPr>
        <w:t>.</w:t>
      </w:r>
    </w:p>
  </w:footnote>
  <w:footnote w:id="72">
    <w:p w14:paraId="4C33514B" w14:textId="77777777" w:rsidR="00765734" w:rsidRDefault="00765734" w:rsidP="005C25F5">
      <w:pPr>
        <w:pStyle w:val="FootnoteText"/>
        <w:rPr>
          <w:rFonts w:ascii="Times New Roman" w:hAnsi="Times New Roman"/>
          <w:sz w:val="20"/>
          <w:szCs w:val="20"/>
        </w:rPr>
      </w:pPr>
      <w:r>
        <w:rPr>
          <w:rStyle w:val="FootnoteReference"/>
          <w:rFonts w:ascii="Times New Roman" w:hAnsi="Times New Roman"/>
          <w:sz w:val="20"/>
          <w:szCs w:val="20"/>
        </w:rPr>
        <w:footnoteRef/>
      </w:r>
      <w:r>
        <w:rPr>
          <w:rFonts w:ascii="Times New Roman" w:hAnsi="Times New Roman"/>
          <w:sz w:val="20"/>
          <w:szCs w:val="20"/>
        </w:rPr>
        <w:t xml:space="preserve"> </w:t>
      </w:r>
      <w:r>
        <w:rPr>
          <w:rFonts w:ascii="Times New Roman" w:hAnsi="Times New Roman"/>
          <w:i/>
          <w:sz w:val="20"/>
          <w:szCs w:val="20"/>
        </w:rPr>
        <w:t>Id</w:t>
      </w:r>
      <w:r>
        <w:rPr>
          <w:rFonts w:ascii="Times New Roman" w:hAnsi="Times New Roman"/>
          <w:sz w:val="20"/>
          <w:szCs w:val="20"/>
        </w:rPr>
        <w:t>.</w:t>
      </w:r>
    </w:p>
  </w:footnote>
  <w:footnote w:id="73">
    <w:p w14:paraId="67C28E6C" w14:textId="77777777" w:rsidR="00765734" w:rsidRDefault="00765734" w:rsidP="005C25F5">
      <w:pPr>
        <w:pStyle w:val="FootnoteText"/>
        <w:rPr>
          <w:rFonts w:ascii="Times New Roman" w:hAnsi="Times New Roman"/>
          <w:sz w:val="20"/>
          <w:szCs w:val="20"/>
        </w:rPr>
      </w:pPr>
      <w:r>
        <w:rPr>
          <w:rStyle w:val="FootnoteReference"/>
          <w:rFonts w:ascii="Times New Roman" w:hAnsi="Times New Roman"/>
          <w:sz w:val="20"/>
          <w:szCs w:val="20"/>
        </w:rPr>
        <w:footnoteRef/>
      </w:r>
      <w:r>
        <w:rPr>
          <w:rFonts w:ascii="Times New Roman" w:hAnsi="Times New Roman"/>
          <w:sz w:val="20"/>
          <w:szCs w:val="20"/>
        </w:rPr>
        <w:t xml:space="preserve"> LOWD, 549 F.3d at 1217 (explaining that “an agency is entitled to deference when it interprets its own regulations even though the agency offered the interpretation for the first time as a litigation position.”).</w:t>
      </w:r>
    </w:p>
  </w:footnote>
  <w:footnote w:id="74">
    <w:p w14:paraId="2DDEBFD2" w14:textId="77777777" w:rsidR="00765734" w:rsidRDefault="00765734" w:rsidP="005C25F5">
      <w:pPr>
        <w:pStyle w:val="FootnoteText"/>
        <w:rPr>
          <w:rFonts w:ascii="Times New Roman" w:hAnsi="Times New Roman"/>
          <w:sz w:val="20"/>
          <w:szCs w:val="20"/>
        </w:rPr>
      </w:pPr>
      <w:r>
        <w:rPr>
          <w:rStyle w:val="FootnoteReference"/>
          <w:rFonts w:ascii="Times New Roman" w:hAnsi="Times New Roman"/>
          <w:sz w:val="20"/>
          <w:szCs w:val="20"/>
        </w:rPr>
        <w:footnoteRef/>
      </w:r>
      <w:r>
        <w:rPr>
          <w:rFonts w:ascii="Times New Roman" w:hAnsi="Times New Roman"/>
          <w:sz w:val="20"/>
          <w:szCs w:val="20"/>
        </w:rPr>
        <w:t xml:space="preserve"> </w:t>
      </w:r>
      <w:r>
        <w:rPr>
          <w:rFonts w:ascii="Times New Roman" w:hAnsi="Times New Roman"/>
          <w:i/>
          <w:sz w:val="20"/>
          <w:szCs w:val="20"/>
        </w:rPr>
        <w:t>Id</w:t>
      </w:r>
      <w:r>
        <w:rPr>
          <w:rFonts w:ascii="Times New Roman" w:hAnsi="Times New Roman"/>
          <w:sz w:val="20"/>
          <w:szCs w:val="20"/>
        </w:rPr>
        <w:t>. at 1218.</w:t>
      </w:r>
    </w:p>
  </w:footnote>
  <w:footnote w:id="75">
    <w:p w14:paraId="5571950F" w14:textId="77777777" w:rsidR="00765734" w:rsidRDefault="00765734" w:rsidP="005C25F5">
      <w:pPr>
        <w:pStyle w:val="FootnoteText"/>
        <w:rPr>
          <w:rFonts w:ascii="Times New Roman" w:hAnsi="Times New Roman"/>
        </w:rPr>
      </w:pPr>
      <w:r>
        <w:rPr>
          <w:rStyle w:val="FootnoteReference"/>
          <w:rFonts w:ascii="Times New Roman" w:hAnsi="Times New Roman"/>
          <w:sz w:val="20"/>
          <w:szCs w:val="20"/>
        </w:rPr>
        <w:footnoteRef/>
      </w:r>
      <w:r>
        <w:rPr>
          <w:rFonts w:ascii="Times New Roman" w:hAnsi="Times New Roman"/>
        </w:rPr>
        <w:t xml:space="preserve"> </w:t>
      </w:r>
      <w:r>
        <w:rPr>
          <w:rFonts w:ascii="Times New Roman" w:hAnsi="Times New Roman"/>
          <w:i/>
          <w:sz w:val="20"/>
          <w:szCs w:val="20"/>
        </w:rPr>
        <w:t>Id</w:t>
      </w:r>
      <w:r>
        <w:rPr>
          <w:rFonts w:ascii="Times New Roman" w:hAnsi="Times New Roman"/>
          <w:sz w:val="20"/>
          <w:szCs w:val="20"/>
        </w:rPr>
        <w:t>.</w:t>
      </w:r>
    </w:p>
  </w:footnote>
  <w:footnote w:id="76">
    <w:p w14:paraId="01703C04" w14:textId="1A980AB6" w:rsidR="00765734" w:rsidRDefault="00765734" w:rsidP="005C25F5">
      <w:pPr>
        <w:pStyle w:val="FootnoteText"/>
        <w:rPr>
          <w:rFonts w:ascii="Times New Roman" w:hAnsi="Times New Roman"/>
          <w:sz w:val="20"/>
          <w:szCs w:val="20"/>
        </w:rPr>
      </w:pPr>
      <w:r>
        <w:rPr>
          <w:rStyle w:val="FootnoteReference"/>
          <w:rFonts w:ascii="Times New Roman" w:hAnsi="Times New Roman"/>
          <w:sz w:val="20"/>
          <w:szCs w:val="20"/>
        </w:rPr>
        <w:footnoteRef/>
      </w:r>
      <w:r>
        <w:rPr>
          <w:rFonts w:ascii="Times New Roman" w:hAnsi="Times New Roman"/>
          <w:sz w:val="20"/>
          <w:szCs w:val="20"/>
        </w:rPr>
        <w:t xml:space="preserve"> </w:t>
      </w:r>
      <w:r>
        <w:rPr>
          <w:rFonts w:ascii="Times New Roman" w:hAnsi="Times New Roman"/>
          <w:i/>
          <w:sz w:val="20"/>
          <w:szCs w:val="20"/>
        </w:rPr>
        <w:t>Id</w:t>
      </w:r>
      <w:r>
        <w:rPr>
          <w:rFonts w:ascii="Times New Roman" w:hAnsi="Times New Roman"/>
          <w:sz w:val="20"/>
          <w:szCs w:val="20"/>
        </w:rPr>
        <w:t>. (quoting, 40 CFR 1500.1(b) (1978)).</w:t>
      </w:r>
    </w:p>
  </w:footnote>
  <w:footnote w:id="77">
    <w:p w14:paraId="49BB1794" w14:textId="77777777" w:rsidR="00765734" w:rsidRDefault="00765734" w:rsidP="005C25F5">
      <w:pPr>
        <w:pStyle w:val="FootnoteText"/>
        <w:rPr>
          <w:rFonts w:ascii="Times New Roman" w:hAnsi="Times New Roman"/>
          <w:sz w:val="20"/>
          <w:szCs w:val="20"/>
        </w:rPr>
      </w:pPr>
      <w:r>
        <w:rPr>
          <w:rStyle w:val="FootnoteReference"/>
          <w:rFonts w:ascii="Times New Roman" w:hAnsi="Times New Roman"/>
          <w:sz w:val="20"/>
          <w:szCs w:val="20"/>
        </w:rPr>
        <w:footnoteRef/>
      </w:r>
      <w:r>
        <w:rPr>
          <w:rFonts w:ascii="Times New Roman" w:hAnsi="Times New Roman"/>
          <w:sz w:val="20"/>
          <w:szCs w:val="20"/>
        </w:rPr>
        <w:t xml:space="preserve"> </w:t>
      </w:r>
      <w:r>
        <w:rPr>
          <w:rFonts w:ascii="Times New Roman" w:hAnsi="Times New Roman"/>
          <w:i/>
          <w:sz w:val="20"/>
          <w:szCs w:val="20"/>
        </w:rPr>
        <w:t>Id</w:t>
      </w:r>
      <w:r>
        <w:rPr>
          <w:rFonts w:ascii="Times New Roman" w:hAnsi="Times New Roman"/>
          <w:sz w:val="20"/>
          <w:szCs w:val="20"/>
        </w:rPr>
        <w:t>.</w:t>
      </w:r>
    </w:p>
  </w:footnote>
  <w:footnote w:id="78">
    <w:p w14:paraId="70180DF4" w14:textId="77777777" w:rsidR="00765734" w:rsidRPr="00BC24AF" w:rsidRDefault="00765734" w:rsidP="00BC24AF">
      <w:pPr>
        <w:pStyle w:val="FootnoteText"/>
        <w:rPr>
          <w:rFonts w:ascii="Times New Roman" w:hAnsi="Times New Roman"/>
          <w:sz w:val="20"/>
          <w:szCs w:val="20"/>
        </w:rPr>
      </w:pPr>
      <w:r>
        <w:rPr>
          <w:rStyle w:val="FootnoteReference"/>
          <w:rFonts w:ascii="Times New Roman" w:hAnsi="Times New Roman"/>
          <w:sz w:val="20"/>
          <w:szCs w:val="20"/>
        </w:rPr>
        <w:footnoteRef/>
      </w:r>
      <w:r>
        <w:rPr>
          <w:rFonts w:ascii="Times New Roman" w:hAnsi="Times New Roman"/>
          <w:sz w:val="20"/>
          <w:szCs w:val="20"/>
        </w:rPr>
        <w:t xml:space="preserve"> </w:t>
      </w:r>
      <w:r>
        <w:rPr>
          <w:rFonts w:ascii="Times New Roman" w:hAnsi="Times New Roman"/>
          <w:i/>
          <w:sz w:val="20"/>
          <w:szCs w:val="20"/>
        </w:rPr>
        <w:t>See generally</w:t>
      </w:r>
      <w:r>
        <w:rPr>
          <w:rFonts w:ascii="Times New Roman" w:hAnsi="Times New Roman"/>
          <w:sz w:val="20"/>
          <w:szCs w:val="20"/>
        </w:rPr>
        <w:t xml:space="preserve"> CELP.</w:t>
      </w:r>
    </w:p>
  </w:footnote>
  <w:footnote w:id="79">
    <w:p w14:paraId="0D0DAB03" w14:textId="5ACB2925" w:rsidR="00765734" w:rsidRPr="00BC24AF" w:rsidRDefault="00765734">
      <w:pPr>
        <w:pStyle w:val="FootnoteText"/>
        <w:rPr>
          <w:rFonts w:ascii="Times New Roman" w:hAnsi="Times New Roman" w:cs="Times New Roman"/>
          <w:sz w:val="20"/>
          <w:szCs w:val="20"/>
        </w:rPr>
      </w:pPr>
      <w:r w:rsidRPr="00BC24AF">
        <w:rPr>
          <w:rStyle w:val="FootnoteReference"/>
          <w:rFonts w:ascii="Times New Roman" w:hAnsi="Times New Roman" w:cs="Times New Roman"/>
          <w:sz w:val="20"/>
          <w:szCs w:val="20"/>
        </w:rPr>
        <w:footnoteRef/>
      </w:r>
      <w:r w:rsidRPr="00BC24AF">
        <w:rPr>
          <w:rFonts w:ascii="Times New Roman" w:hAnsi="Times New Roman" w:cs="Times New Roman"/>
          <w:sz w:val="20"/>
          <w:szCs w:val="20"/>
        </w:rPr>
        <w:t xml:space="preserve">  CELP at 1008.</w:t>
      </w:r>
    </w:p>
  </w:footnote>
  <w:footnote w:id="80">
    <w:p w14:paraId="728DE521" w14:textId="1EC51903" w:rsidR="00765734" w:rsidRDefault="00765734" w:rsidP="00EE32A2">
      <w:pPr>
        <w:pStyle w:val="FootnoteText"/>
        <w:rPr>
          <w:rFonts w:ascii="Times New Roman" w:hAnsi="Times New Roman"/>
          <w:sz w:val="20"/>
          <w:szCs w:val="20"/>
        </w:rPr>
      </w:pPr>
      <w:r>
        <w:rPr>
          <w:rStyle w:val="FootnoteReference"/>
          <w:rFonts w:ascii="Times New Roman" w:hAnsi="Times New Roman"/>
          <w:sz w:val="20"/>
          <w:szCs w:val="20"/>
        </w:rPr>
        <w:footnoteRef/>
      </w:r>
      <w:r>
        <w:rPr>
          <w:rFonts w:ascii="Times New Roman" w:hAnsi="Times New Roman"/>
          <w:sz w:val="20"/>
          <w:szCs w:val="20"/>
        </w:rPr>
        <w:t xml:space="preserve"> </w:t>
      </w:r>
      <w:r>
        <w:rPr>
          <w:rFonts w:ascii="Times New Roman" w:hAnsi="Times New Roman"/>
          <w:i/>
          <w:sz w:val="20"/>
          <w:szCs w:val="20"/>
        </w:rPr>
        <w:t>Id</w:t>
      </w:r>
      <w:r>
        <w:rPr>
          <w:rFonts w:ascii="Times New Roman" w:hAnsi="Times New Roman"/>
          <w:sz w:val="20"/>
          <w:szCs w:val="20"/>
        </w:rPr>
        <w:t>. (Emphasis added).</w:t>
      </w:r>
    </w:p>
  </w:footnote>
  <w:footnote w:id="81">
    <w:p w14:paraId="489C1DB8" w14:textId="77777777" w:rsidR="00765734" w:rsidRDefault="00765734" w:rsidP="00EE32A2">
      <w:pPr>
        <w:pStyle w:val="FootnoteText"/>
        <w:rPr>
          <w:rFonts w:ascii="Times New Roman" w:hAnsi="Times New Roman"/>
          <w:sz w:val="20"/>
          <w:szCs w:val="20"/>
        </w:rPr>
      </w:pPr>
      <w:r>
        <w:rPr>
          <w:rStyle w:val="FootnoteReference"/>
          <w:rFonts w:ascii="Times New Roman" w:hAnsi="Times New Roman"/>
          <w:sz w:val="20"/>
          <w:szCs w:val="20"/>
        </w:rPr>
        <w:footnoteRef/>
      </w:r>
      <w:r>
        <w:rPr>
          <w:rFonts w:ascii="Times New Roman" w:hAnsi="Times New Roman"/>
          <w:sz w:val="20"/>
          <w:szCs w:val="20"/>
        </w:rPr>
        <w:t xml:space="preserve"> </w:t>
      </w:r>
      <w:r>
        <w:rPr>
          <w:rFonts w:ascii="Times New Roman" w:hAnsi="Times New Roman"/>
          <w:i/>
          <w:sz w:val="20"/>
          <w:szCs w:val="20"/>
        </w:rPr>
        <w:t>Id</w:t>
      </w:r>
      <w:r>
        <w:rPr>
          <w:rFonts w:ascii="Times New Roman" w:hAnsi="Times New Roman"/>
          <w:sz w:val="20"/>
          <w:szCs w:val="20"/>
        </w:rPr>
        <w:t>.</w:t>
      </w:r>
    </w:p>
  </w:footnote>
  <w:footnote w:id="82">
    <w:p w14:paraId="282D0A11" w14:textId="77777777" w:rsidR="00765734" w:rsidRDefault="00765734" w:rsidP="00EE32A2">
      <w:pPr>
        <w:pStyle w:val="FootnoteText"/>
      </w:pPr>
      <w:r>
        <w:rPr>
          <w:rStyle w:val="FootnoteReference"/>
          <w:rFonts w:ascii="Times New Roman" w:hAnsi="Times New Roman"/>
          <w:sz w:val="20"/>
          <w:szCs w:val="20"/>
        </w:rPr>
        <w:footnoteRef/>
      </w:r>
      <w:r>
        <w:t xml:space="preserve"> </w:t>
      </w:r>
      <w:r>
        <w:rPr>
          <w:rFonts w:ascii="Times New Roman" w:hAnsi="Times New Roman"/>
          <w:i/>
          <w:sz w:val="20"/>
          <w:szCs w:val="20"/>
        </w:rPr>
        <w:t>Id</w:t>
      </w:r>
      <w:r>
        <w:rPr>
          <w:rFonts w:ascii="Times New Roman" w:hAnsi="Times New Roman"/>
          <w:sz w:val="20"/>
          <w:szCs w:val="20"/>
        </w:rPr>
        <w:t>.</w:t>
      </w:r>
    </w:p>
  </w:footnote>
  <w:footnote w:id="83">
    <w:p w14:paraId="61E23F5E" w14:textId="77777777" w:rsidR="00765734" w:rsidRPr="00DE7DF2" w:rsidRDefault="00765734" w:rsidP="00765734">
      <w:pPr>
        <w:pStyle w:val="FootnoteText"/>
        <w:rPr>
          <w:rFonts w:ascii="Times New Roman" w:hAnsi="Times New Roman" w:cs="Times New Roman"/>
          <w:sz w:val="20"/>
          <w:szCs w:val="20"/>
        </w:rPr>
      </w:pPr>
      <w:r w:rsidRPr="00DE7DF2">
        <w:rPr>
          <w:rStyle w:val="FootnoteReference"/>
          <w:rFonts w:ascii="Times New Roman" w:hAnsi="Times New Roman" w:cs="Times New Roman"/>
          <w:sz w:val="20"/>
          <w:szCs w:val="20"/>
        </w:rPr>
        <w:footnoteRef/>
      </w:r>
      <w:r w:rsidRPr="00DE7DF2">
        <w:rPr>
          <w:rFonts w:ascii="Times New Roman" w:hAnsi="Times New Roman" w:cs="Times New Roman"/>
          <w:sz w:val="20"/>
          <w:szCs w:val="20"/>
        </w:rPr>
        <w:t xml:space="preserve"> CELP at 1008.</w:t>
      </w:r>
    </w:p>
  </w:footnote>
  <w:footnote w:id="84">
    <w:p w14:paraId="3FA5E2A6" w14:textId="77777777" w:rsidR="00765734" w:rsidRPr="00DE7DF2" w:rsidRDefault="00765734" w:rsidP="00765734">
      <w:pPr>
        <w:pStyle w:val="FootnoteText"/>
        <w:rPr>
          <w:rFonts w:ascii="Times New Roman" w:hAnsi="Times New Roman" w:cs="Times New Roman"/>
          <w:sz w:val="20"/>
          <w:szCs w:val="20"/>
        </w:rPr>
      </w:pPr>
      <w:r w:rsidRPr="00DE7DF2">
        <w:rPr>
          <w:rStyle w:val="FootnoteReference"/>
          <w:rFonts w:ascii="Times New Roman" w:hAnsi="Times New Roman" w:cs="Times New Roman"/>
          <w:sz w:val="20"/>
          <w:szCs w:val="20"/>
        </w:rPr>
        <w:footnoteRef/>
      </w:r>
      <w:r w:rsidRPr="00DE7DF2">
        <w:rPr>
          <w:rFonts w:ascii="Times New Roman" w:hAnsi="Times New Roman" w:cs="Times New Roman"/>
          <w:sz w:val="20"/>
          <w:szCs w:val="20"/>
        </w:rPr>
        <w:t xml:space="preserve"> </w:t>
      </w:r>
      <w:r w:rsidRPr="00DE7DF2">
        <w:rPr>
          <w:rFonts w:ascii="Times New Roman" w:hAnsi="Times New Roman" w:cs="Times New Roman"/>
          <w:i/>
          <w:sz w:val="20"/>
          <w:szCs w:val="20"/>
        </w:rPr>
        <w:t>Id</w:t>
      </w:r>
      <w:r w:rsidRPr="00DE7DF2">
        <w:rPr>
          <w:rFonts w:ascii="Times New Roman" w:hAnsi="Times New Roman" w:cs="Times New Roman"/>
          <w:sz w:val="20"/>
          <w:szCs w:val="20"/>
        </w:rPr>
        <w:t>.</w:t>
      </w:r>
    </w:p>
  </w:footnote>
  <w:footnote w:id="85">
    <w:p w14:paraId="59F4CA8D" w14:textId="77777777" w:rsidR="00765734" w:rsidRPr="00DE7DF2" w:rsidRDefault="00765734" w:rsidP="00765734">
      <w:pPr>
        <w:pStyle w:val="FootnoteText"/>
        <w:rPr>
          <w:rFonts w:ascii="Times New Roman" w:hAnsi="Times New Roman" w:cs="Times New Roman"/>
          <w:sz w:val="20"/>
          <w:szCs w:val="20"/>
        </w:rPr>
      </w:pPr>
      <w:r w:rsidRPr="00DE7DF2">
        <w:rPr>
          <w:rStyle w:val="FootnoteReference"/>
          <w:rFonts w:ascii="Times New Roman" w:hAnsi="Times New Roman" w:cs="Times New Roman"/>
          <w:sz w:val="20"/>
          <w:szCs w:val="20"/>
        </w:rPr>
        <w:footnoteRef/>
      </w:r>
      <w:r w:rsidRPr="00DE7DF2">
        <w:rPr>
          <w:rFonts w:ascii="Times New Roman" w:hAnsi="Times New Roman" w:cs="Times New Roman"/>
          <w:sz w:val="20"/>
          <w:szCs w:val="20"/>
        </w:rPr>
        <w:t xml:space="preserve"> </w:t>
      </w:r>
      <w:r w:rsidRPr="00DE7DF2">
        <w:rPr>
          <w:rFonts w:ascii="Times New Roman" w:hAnsi="Times New Roman" w:cs="Times New Roman"/>
          <w:i/>
          <w:sz w:val="20"/>
          <w:szCs w:val="20"/>
        </w:rPr>
        <w:t>Id</w:t>
      </w:r>
      <w:r w:rsidRPr="00DE7DF2">
        <w:rPr>
          <w:rFonts w:ascii="Times New Roman" w:hAnsi="Times New Roman" w:cs="Times New Roman"/>
          <w:sz w:val="20"/>
          <w:szCs w:val="20"/>
        </w:rPr>
        <w:t>.</w:t>
      </w:r>
    </w:p>
  </w:footnote>
  <w:footnote w:id="86">
    <w:p w14:paraId="75E52889" w14:textId="77777777" w:rsidR="00765734" w:rsidRDefault="00765734" w:rsidP="00EE32A2">
      <w:pPr>
        <w:pStyle w:val="FootnoteText"/>
        <w:rPr>
          <w:rFonts w:ascii="Times New Roman" w:hAnsi="Times New Roman"/>
          <w:sz w:val="20"/>
          <w:szCs w:val="20"/>
        </w:rPr>
      </w:pPr>
      <w:r>
        <w:rPr>
          <w:rStyle w:val="FootnoteReference"/>
          <w:rFonts w:ascii="Times New Roman" w:hAnsi="Times New Roman"/>
          <w:sz w:val="20"/>
          <w:szCs w:val="20"/>
        </w:rPr>
        <w:footnoteRef/>
      </w:r>
      <w:r>
        <w:rPr>
          <w:rFonts w:ascii="Times New Roman" w:hAnsi="Times New Roman"/>
          <w:sz w:val="20"/>
          <w:szCs w:val="20"/>
        </w:rPr>
        <w:t xml:space="preserve"> </w:t>
      </w:r>
      <w:r>
        <w:rPr>
          <w:rFonts w:ascii="Times New Roman" w:hAnsi="Times New Roman"/>
          <w:i/>
          <w:sz w:val="20"/>
          <w:szCs w:val="20"/>
        </w:rPr>
        <w:t>Id</w:t>
      </w:r>
      <w:r>
        <w:rPr>
          <w:rFonts w:ascii="Times New Roman" w:hAnsi="Times New Roman"/>
          <w:sz w:val="20"/>
          <w:szCs w:val="20"/>
        </w:rPr>
        <w:t>. at 1009.</w:t>
      </w:r>
    </w:p>
  </w:footnote>
  <w:footnote w:id="87">
    <w:p w14:paraId="0D059A82" w14:textId="77777777" w:rsidR="00765734" w:rsidRDefault="00765734" w:rsidP="00EE32A2">
      <w:pPr>
        <w:pStyle w:val="FootnoteText"/>
        <w:rPr>
          <w:sz w:val="20"/>
          <w:szCs w:val="20"/>
        </w:rPr>
      </w:pPr>
      <w:r>
        <w:rPr>
          <w:rStyle w:val="FootnoteReference"/>
          <w:rFonts w:ascii="Times New Roman" w:hAnsi="Times New Roman"/>
          <w:sz w:val="20"/>
          <w:szCs w:val="20"/>
        </w:rPr>
        <w:footnoteRef/>
      </w:r>
      <w:r>
        <w:rPr>
          <w:sz w:val="20"/>
          <w:szCs w:val="20"/>
        </w:rPr>
        <w:t xml:space="preserve"> </w:t>
      </w:r>
      <w:r>
        <w:rPr>
          <w:rFonts w:ascii="Times New Roman" w:hAnsi="Times New Roman"/>
          <w:sz w:val="20"/>
          <w:szCs w:val="20"/>
        </w:rPr>
        <w:t>FRIENDS, 875 F.Supp.2d at 1221.</w:t>
      </w:r>
    </w:p>
  </w:footnote>
  <w:footnote w:id="88">
    <w:p w14:paraId="2B052952" w14:textId="77777777" w:rsidR="00765734" w:rsidRDefault="00765734" w:rsidP="00EE32A2">
      <w:pPr>
        <w:pStyle w:val="FootnoteText"/>
        <w:rPr>
          <w:rFonts w:ascii="Times New Roman" w:hAnsi="Times New Roman"/>
          <w:sz w:val="20"/>
          <w:szCs w:val="20"/>
        </w:rPr>
      </w:pPr>
      <w:r>
        <w:rPr>
          <w:rStyle w:val="FootnoteReference"/>
          <w:rFonts w:ascii="Times New Roman" w:hAnsi="Times New Roman"/>
          <w:sz w:val="20"/>
          <w:szCs w:val="20"/>
        </w:rPr>
        <w:footnoteRef/>
      </w:r>
      <w:r>
        <w:rPr>
          <w:rFonts w:ascii="Times New Roman" w:hAnsi="Times New Roman"/>
          <w:sz w:val="20"/>
          <w:szCs w:val="20"/>
        </w:rPr>
        <w:t xml:space="preserve"> </w:t>
      </w:r>
      <w:r>
        <w:rPr>
          <w:rFonts w:ascii="Times New Roman" w:hAnsi="Times New Roman"/>
          <w:color w:val="1C1C1C"/>
          <w:sz w:val="20"/>
          <w:szCs w:val="20"/>
        </w:rPr>
        <w:t>Fed. R. Civ. P. 56(a).</w:t>
      </w:r>
    </w:p>
  </w:footnote>
  <w:footnote w:id="89">
    <w:p w14:paraId="000EFC32" w14:textId="77777777" w:rsidR="00765734" w:rsidRDefault="00765734" w:rsidP="00EE32A2">
      <w:pPr>
        <w:pStyle w:val="FootnoteText"/>
        <w:rPr>
          <w:rFonts w:ascii="Times New Roman" w:hAnsi="Times New Roman"/>
          <w:sz w:val="20"/>
          <w:szCs w:val="20"/>
        </w:rPr>
      </w:pPr>
      <w:r>
        <w:rPr>
          <w:rStyle w:val="FootnoteReference"/>
          <w:rFonts w:ascii="Times New Roman" w:hAnsi="Times New Roman"/>
          <w:sz w:val="20"/>
          <w:szCs w:val="20"/>
        </w:rPr>
        <w:footnoteRef/>
      </w:r>
      <w:r>
        <w:rPr>
          <w:rFonts w:ascii="Times New Roman" w:hAnsi="Times New Roman"/>
          <w:sz w:val="20"/>
          <w:szCs w:val="20"/>
        </w:rPr>
        <w:t xml:space="preserve"> CELP, 655 F.3d at 1005 (quoting 5 U.S.C. § 706(2)(A)).</w:t>
      </w:r>
    </w:p>
  </w:footnote>
  <w:footnote w:id="90">
    <w:p w14:paraId="59EDAFA1" w14:textId="77777777" w:rsidR="00765734" w:rsidRDefault="00765734" w:rsidP="00EE32A2">
      <w:pPr>
        <w:pStyle w:val="FootnoteText"/>
        <w:rPr>
          <w:rFonts w:ascii="Times New Roman" w:hAnsi="Times New Roman"/>
          <w:sz w:val="20"/>
          <w:szCs w:val="20"/>
        </w:rPr>
      </w:pPr>
      <w:r>
        <w:rPr>
          <w:rStyle w:val="FootnoteReference"/>
          <w:rFonts w:ascii="Times New Roman" w:hAnsi="Times New Roman"/>
          <w:sz w:val="20"/>
          <w:szCs w:val="20"/>
        </w:rPr>
        <w:footnoteRef/>
      </w:r>
      <w:r>
        <w:rPr>
          <w:rFonts w:ascii="Times New Roman" w:hAnsi="Times New Roman"/>
          <w:sz w:val="20"/>
          <w:szCs w:val="20"/>
        </w:rPr>
        <w:t xml:space="preserve"> </w:t>
      </w:r>
      <w:r>
        <w:rPr>
          <w:rFonts w:ascii="Times New Roman" w:hAnsi="Times New Roman"/>
          <w:i/>
          <w:sz w:val="20"/>
          <w:szCs w:val="20"/>
        </w:rPr>
        <w:t>Id</w:t>
      </w:r>
      <w:r>
        <w:rPr>
          <w:rFonts w:ascii="Times New Roman" w:hAnsi="Times New Roman"/>
          <w:sz w:val="20"/>
          <w:szCs w:val="20"/>
        </w:rPr>
        <w:t>. (</w:t>
      </w:r>
      <w:r w:rsidRPr="00DE7DF2">
        <w:rPr>
          <w:rFonts w:ascii="Times New Roman" w:hAnsi="Times New Roman"/>
          <w:sz w:val="20"/>
          <w:szCs w:val="20"/>
        </w:rPr>
        <w:t xml:space="preserve">quoting </w:t>
      </w:r>
      <w:r w:rsidRPr="00DE7DF2">
        <w:rPr>
          <w:rFonts w:ascii="Times New Roman" w:hAnsi="Times New Roman"/>
          <w:iCs/>
          <w:sz w:val="20"/>
          <w:szCs w:val="20"/>
        </w:rPr>
        <w:t>Bering Strait Citizens for Responsible Res. Dev. v. U.S. Army Corps of Eng'rs</w:t>
      </w:r>
      <w:r>
        <w:rPr>
          <w:rFonts w:ascii="Times New Roman" w:hAnsi="Times New Roman"/>
          <w:i/>
          <w:iCs/>
          <w:sz w:val="20"/>
          <w:szCs w:val="20"/>
        </w:rPr>
        <w:t>,</w:t>
      </w:r>
      <w:r>
        <w:rPr>
          <w:rFonts w:ascii="Times New Roman" w:hAnsi="Times New Roman"/>
          <w:sz w:val="20"/>
          <w:szCs w:val="20"/>
        </w:rPr>
        <w:t xml:space="preserve"> 524 F.3d 938, 947 (9thCir. 2008)).</w:t>
      </w:r>
    </w:p>
  </w:footnote>
  <w:footnote w:id="91">
    <w:p w14:paraId="0E778670" w14:textId="77777777" w:rsidR="00765734" w:rsidRDefault="00765734" w:rsidP="00EE32A2">
      <w:pPr>
        <w:pStyle w:val="FootnoteText"/>
        <w:rPr>
          <w:rFonts w:ascii="Times New Roman" w:hAnsi="Times New Roman"/>
          <w:sz w:val="20"/>
          <w:szCs w:val="20"/>
        </w:rPr>
      </w:pPr>
      <w:r>
        <w:rPr>
          <w:rStyle w:val="FootnoteReference"/>
          <w:rFonts w:ascii="Times New Roman" w:hAnsi="Times New Roman"/>
          <w:sz w:val="20"/>
          <w:szCs w:val="20"/>
        </w:rPr>
        <w:footnoteRef/>
      </w:r>
      <w:r>
        <w:rPr>
          <w:rFonts w:ascii="Times New Roman" w:hAnsi="Times New Roman"/>
          <w:sz w:val="20"/>
          <w:szCs w:val="20"/>
        </w:rPr>
        <w:t xml:space="preserve"> </w:t>
      </w:r>
      <w:r>
        <w:rPr>
          <w:rFonts w:ascii="Times New Roman" w:hAnsi="Times New Roman"/>
          <w:i/>
          <w:sz w:val="20"/>
          <w:szCs w:val="20"/>
        </w:rPr>
        <w:t>Id</w:t>
      </w:r>
      <w:r>
        <w:rPr>
          <w:rFonts w:ascii="Times New Roman" w:hAnsi="Times New Roman"/>
          <w:sz w:val="20"/>
          <w:szCs w:val="20"/>
        </w:rPr>
        <w:t>.</w:t>
      </w:r>
      <w:r>
        <w:rPr>
          <w:rFonts w:ascii="Times New Roman" w:hAnsi="Times New Roman"/>
          <w:i/>
          <w:sz w:val="20"/>
          <w:szCs w:val="20"/>
        </w:rPr>
        <w:t xml:space="preserve"> </w:t>
      </w:r>
      <w:r>
        <w:rPr>
          <w:rFonts w:ascii="Times New Roman" w:hAnsi="Times New Roman"/>
          <w:sz w:val="20"/>
          <w:szCs w:val="20"/>
        </w:rPr>
        <w:t xml:space="preserve">(quoting </w:t>
      </w:r>
      <w:r w:rsidRPr="00DE7DF2">
        <w:rPr>
          <w:rFonts w:ascii="Times New Roman" w:hAnsi="Times New Roman"/>
          <w:iCs/>
          <w:sz w:val="20"/>
          <w:szCs w:val="20"/>
        </w:rPr>
        <w:t>Blue Mountains Biodiversity Project v. Blackwood</w:t>
      </w:r>
      <w:r>
        <w:rPr>
          <w:rFonts w:ascii="Times New Roman" w:hAnsi="Times New Roman"/>
          <w:i/>
          <w:iCs/>
          <w:sz w:val="20"/>
          <w:szCs w:val="20"/>
        </w:rPr>
        <w:t>,</w:t>
      </w:r>
      <w:r>
        <w:rPr>
          <w:rFonts w:ascii="Times New Roman" w:hAnsi="Times New Roman"/>
          <w:sz w:val="20"/>
          <w:szCs w:val="20"/>
        </w:rPr>
        <w:t xml:space="preserve"> 161 F.3d 1208, 1211 (9thCir.1998)). </w:t>
      </w:r>
    </w:p>
  </w:footnote>
  <w:footnote w:id="92">
    <w:p w14:paraId="352DF5DE" w14:textId="05424E81" w:rsidR="00765734" w:rsidRPr="007F314C" w:rsidRDefault="00765734">
      <w:pPr>
        <w:pStyle w:val="FootnoteText"/>
        <w:rPr>
          <w:rFonts w:ascii="Times New Roman" w:hAnsi="Times New Roman" w:cs="Times New Roman"/>
          <w:sz w:val="20"/>
          <w:szCs w:val="20"/>
        </w:rPr>
      </w:pPr>
      <w:r w:rsidRPr="007F314C">
        <w:rPr>
          <w:rStyle w:val="FootnoteReference"/>
          <w:rFonts w:ascii="Times New Roman" w:hAnsi="Times New Roman" w:cs="Times New Roman"/>
          <w:sz w:val="20"/>
          <w:szCs w:val="20"/>
        </w:rPr>
        <w:footnoteRef/>
      </w:r>
      <w:r w:rsidRPr="007F314C">
        <w:rPr>
          <w:rFonts w:ascii="Times New Roman" w:hAnsi="Times New Roman" w:cs="Times New Roman"/>
          <w:sz w:val="20"/>
          <w:szCs w:val="20"/>
        </w:rPr>
        <w:t xml:space="preserve"> </w:t>
      </w:r>
      <w:r>
        <w:rPr>
          <w:rFonts w:ascii="Times New Roman" w:hAnsi="Times New Roman"/>
          <w:sz w:val="20"/>
          <w:szCs w:val="20"/>
        </w:rPr>
        <w:t>FRIENDS, 875 F.Supp.2d at 1220.</w:t>
      </w:r>
    </w:p>
  </w:footnote>
  <w:footnote w:id="93">
    <w:p w14:paraId="35467CC7" w14:textId="471878B7" w:rsidR="00765734" w:rsidRPr="007F314C" w:rsidRDefault="00765734">
      <w:pPr>
        <w:pStyle w:val="FootnoteText"/>
        <w:rPr>
          <w:rFonts w:ascii="Times New Roman" w:hAnsi="Times New Roman" w:cs="Times New Roman"/>
          <w:sz w:val="20"/>
          <w:szCs w:val="20"/>
        </w:rPr>
      </w:pPr>
      <w:r w:rsidRPr="007F314C">
        <w:rPr>
          <w:rStyle w:val="FootnoteReference"/>
          <w:rFonts w:ascii="Times New Roman" w:hAnsi="Times New Roman" w:cs="Times New Roman"/>
          <w:sz w:val="20"/>
          <w:szCs w:val="20"/>
        </w:rPr>
        <w:footnoteRef/>
      </w:r>
      <w:r w:rsidRPr="007F314C">
        <w:rPr>
          <w:rFonts w:ascii="Times New Roman" w:hAnsi="Times New Roman" w:cs="Times New Roman"/>
          <w:sz w:val="20"/>
          <w:szCs w:val="20"/>
        </w:rPr>
        <w:t xml:space="preserve"> </w:t>
      </w:r>
      <w:r>
        <w:rPr>
          <w:rFonts w:ascii="Times New Roman" w:hAnsi="Times New Roman" w:cs="Times New Roman"/>
          <w:i/>
          <w:sz w:val="20"/>
          <w:szCs w:val="20"/>
        </w:rPr>
        <w:t>Id</w:t>
      </w:r>
      <w:r>
        <w:rPr>
          <w:rFonts w:ascii="Times New Roman" w:hAnsi="Times New Roman" w:cs="Times New Roman"/>
          <w:sz w:val="20"/>
          <w:szCs w:val="20"/>
        </w:rPr>
        <w:t>.</w:t>
      </w:r>
    </w:p>
  </w:footnote>
  <w:footnote w:id="94">
    <w:p w14:paraId="57BD7906" w14:textId="78EE100B" w:rsidR="00765734" w:rsidRPr="007F314C" w:rsidRDefault="00765734">
      <w:pPr>
        <w:pStyle w:val="FootnoteText"/>
        <w:rPr>
          <w:rFonts w:ascii="Times New Roman" w:hAnsi="Times New Roman" w:cs="Times New Roman"/>
          <w:sz w:val="20"/>
          <w:szCs w:val="20"/>
        </w:rPr>
      </w:pPr>
      <w:r w:rsidRPr="007F314C">
        <w:rPr>
          <w:rStyle w:val="FootnoteReference"/>
          <w:rFonts w:ascii="Times New Roman" w:hAnsi="Times New Roman" w:cs="Times New Roman"/>
          <w:sz w:val="20"/>
          <w:szCs w:val="20"/>
        </w:rPr>
        <w:footnoteRef/>
      </w:r>
      <w:r w:rsidRPr="007F314C">
        <w:rPr>
          <w:rFonts w:ascii="Times New Roman" w:hAnsi="Times New Roman" w:cs="Times New Roman"/>
          <w:sz w:val="20"/>
          <w:szCs w:val="20"/>
        </w:rPr>
        <w:t xml:space="preserve"> </w:t>
      </w:r>
      <w:r>
        <w:rPr>
          <w:rFonts w:ascii="Times New Roman" w:hAnsi="Times New Roman" w:cs="Times New Roman"/>
          <w:i/>
          <w:sz w:val="20"/>
          <w:szCs w:val="20"/>
        </w:rPr>
        <w:t>Id</w:t>
      </w:r>
      <w:r>
        <w:rPr>
          <w:rFonts w:ascii="Times New Roman" w:hAnsi="Times New Roman" w:cs="Times New Roman"/>
          <w:sz w:val="20"/>
          <w:szCs w:val="20"/>
        </w:rPr>
        <w:t>.</w:t>
      </w:r>
    </w:p>
  </w:footnote>
  <w:footnote w:id="95">
    <w:p w14:paraId="25304DE9" w14:textId="583C2F87" w:rsidR="00765734" w:rsidRPr="007F314C" w:rsidRDefault="00765734">
      <w:pPr>
        <w:pStyle w:val="FootnoteText"/>
        <w:rPr>
          <w:rFonts w:ascii="Times New Roman" w:hAnsi="Times New Roman" w:cs="Times New Roman"/>
          <w:sz w:val="20"/>
          <w:szCs w:val="20"/>
        </w:rPr>
      </w:pPr>
      <w:r w:rsidRPr="007F314C">
        <w:rPr>
          <w:rStyle w:val="FootnoteReference"/>
          <w:rFonts w:ascii="Times New Roman" w:hAnsi="Times New Roman" w:cs="Times New Roman"/>
          <w:sz w:val="20"/>
          <w:szCs w:val="20"/>
        </w:rPr>
        <w:footnoteRef/>
      </w:r>
      <w:r w:rsidRPr="007F314C">
        <w:rPr>
          <w:rFonts w:ascii="Times New Roman" w:hAnsi="Times New Roman" w:cs="Times New Roman"/>
          <w:sz w:val="20"/>
          <w:szCs w:val="20"/>
        </w:rPr>
        <w:t xml:space="preserve"> </w:t>
      </w:r>
      <w:r>
        <w:rPr>
          <w:rFonts w:ascii="Times New Roman" w:hAnsi="Times New Roman" w:cs="Times New Roman"/>
          <w:i/>
          <w:sz w:val="20"/>
          <w:szCs w:val="20"/>
        </w:rPr>
        <w:t>Id</w:t>
      </w:r>
      <w:r>
        <w:rPr>
          <w:rFonts w:ascii="Times New Roman" w:hAnsi="Times New Roman" w:cs="Times New Roman"/>
          <w:sz w:val="20"/>
          <w:szCs w:val="20"/>
        </w:rPr>
        <w:t>.</w:t>
      </w:r>
    </w:p>
  </w:footnote>
  <w:footnote w:id="96">
    <w:p w14:paraId="7FDE9FF8" w14:textId="77777777" w:rsidR="00765734" w:rsidRPr="00C064A1" w:rsidRDefault="00765734" w:rsidP="00EE32A2">
      <w:pPr>
        <w:pStyle w:val="FootnoteText"/>
        <w:rPr>
          <w:rFonts w:ascii="Times New Roman" w:hAnsi="Times New Roman" w:cs="Times New Roman"/>
          <w:sz w:val="20"/>
          <w:szCs w:val="20"/>
        </w:rPr>
      </w:pPr>
      <w:r w:rsidRPr="00C064A1">
        <w:rPr>
          <w:rStyle w:val="FootnoteReference"/>
          <w:rFonts w:ascii="Times New Roman" w:hAnsi="Times New Roman" w:cs="Times New Roman"/>
          <w:sz w:val="20"/>
          <w:szCs w:val="20"/>
        </w:rPr>
        <w:footnoteRef/>
      </w:r>
      <w:r w:rsidRPr="00C064A1">
        <w:rPr>
          <w:rFonts w:ascii="Times New Roman" w:hAnsi="Times New Roman" w:cs="Times New Roman"/>
          <w:sz w:val="20"/>
          <w:szCs w:val="20"/>
        </w:rPr>
        <w:t xml:space="preserve"> </w:t>
      </w:r>
      <w:r w:rsidRPr="00C064A1">
        <w:rPr>
          <w:rFonts w:ascii="Times New Roman" w:hAnsi="Times New Roman" w:cs="Times New Roman"/>
          <w:i/>
          <w:sz w:val="20"/>
          <w:szCs w:val="20"/>
        </w:rPr>
        <w:t>See</w:t>
      </w:r>
      <w:r w:rsidRPr="00C064A1">
        <w:rPr>
          <w:rFonts w:ascii="Times New Roman" w:hAnsi="Times New Roman" w:cs="Times New Roman"/>
          <w:sz w:val="20"/>
          <w:szCs w:val="20"/>
        </w:rPr>
        <w:t xml:space="preserve"> FRIENDS, 875 F.Supp.2d at 1220 (citing </w:t>
      </w:r>
      <w:r w:rsidRPr="00C064A1">
        <w:rPr>
          <w:rFonts w:ascii="Times New Roman" w:hAnsi="Times New Roman" w:cs="Times New Roman"/>
          <w:iCs/>
          <w:sz w:val="20"/>
          <w:szCs w:val="20"/>
        </w:rPr>
        <w:t>TE-MOAK,</w:t>
      </w:r>
      <w:r w:rsidRPr="00C064A1">
        <w:rPr>
          <w:rFonts w:ascii="Times New Roman" w:hAnsi="Times New Roman" w:cs="Times New Roman"/>
          <w:i/>
          <w:iCs/>
          <w:sz w:val="20"/>
          <w:szCs w:val="20"/>
        </w:rPr>
        <w:t xml:space="preserve"> </w:t>
      </w:r>
      <w:r w:rsidRPr="00C064A1">
        <w:rPr>
          <w:rFonts w:ascii="Times New Roman" w:hAnsi="Times New Roman" w:cs="Times New Roman"/>
          <w:sz w:val="20"/>
          <w:szCs w:val="20"/>
        </w:rPr>
        <w:t>608 F.3d at 603)(</w:t>
      </w:r>
      <w:r w:rsidRPr="00DE7DF2">
        <w:rPr>
          <w:rFonts w:ascii="Times New Roman" w:hAnsi="Times New Roman" w:cs="Times New Roman"/>
          <w:sz w:val="20"/>
          <w:szCs w:val="20"/>
        </w:rPr>
        <w:t xml:space="preserve">quoting </w:t>
      </w:r>
      <w:r w:rsidRPr="00DE7DF2">
        <w:rPr>
          <w:rFonts w:ascii="Times New Roman" w:hAnsi="Times New Roman" w:cs="Times New Roman"/>
          <w:iCs/>
          <w:sz w:val="20"/>
          <w:szCs w:val="20"/>
        </w:rPr>
        <w:t>Lands Council v. Powell,</w:t>
      </w:r>
      <w:r w:rsidRPr="00C064A1">
        <w:rPr>
          <w:rFonts w:ascii="Times New Roman" w:hAnsi="Times New Roman" w:cs="Times New Roman"/>
          <w:sz w:val="20"/>
          <w:szCs w:val="20"/>
        </w:rPr>
        <w:t xml:space="preserve"> 395 F.3d 1019, 1028 (9th Cir.2005))(Emphasis added).</w:t>
      </w:r>
    </w:p>
  </w:footnote>
  <w:footnote w:id="97">
    <w:p w14:paraId="1C4DB43E" w14:textId="556E1EEE" w:rsidR="00765734" w:rsidRPr="00C064A1" w:rsidRDefault="00765734">
      <w:pPr>
        <w:pStyle w:val="FootnoteText"/>
        <w:rPr>
          <w:rFonts w:ascii="Times New Roman" w:hAnsi="Times New Roman" w:cs="Times New Roman"/>
          <w:sz w:val="20"/>
          <w:szCs w:val="20"/>
        </w:rPr>
      </w:pPr>
      <w:r w:rsidRPr="00C064A1">
        <w:rPr>
          <w:rStyle w:val="FootnoteReference"/>
          <w:rFonts w:ascii="Times New Roman" w:hAnsi="Times New Roman" w:cs="Times New Roman"/>
          <w:sz w:val="20"/>
          <w:szCs w:val="20"/>
        </w:rPr>
        <w:footnoteRef/>
      </w:r>
      <w:r w:rsidRPr="00C064A1">
        <w:rPr>
          <w:rFonts w:ascii="Times New Roman" w:hAnsi="Times New Roman" w:cs="Times New Roman"/>
          <w:sz w:val="20"/>
          <w:szCs w:val="20"/>
        </w:rPr>
        <w:t xml:space="preserve"> </w:t>
      </w:r>
      <w:r w:rsidRPr="00C064A1">
        <w:rPr>
          <w:rFonts w:ascii="Times New Roman" w:hAnsi="Times New Roman" w:cs="Times New Roman"/>
          <w:i/>
          <w:sz w:val="20"/>
          <w:szCs w:val="20"/>
        </w:rPr>
        <w:t>See</w:t>
      </w:r>
      <w:r w:rsidRPr="00C064A1">
        <w:rPr>
          <w:rFonts w:ascii="Times New Roman" w:hAnsi="Times New Roman" w:cs="Times New Roman"/>
          <w:sz w:val="20"/>
          <w:szCs w:val="20"/>
        </w:rPr>
        <w:t xml:space="preserve"> FRIENDS, 875 F.Supp.2d at 1220 (citing CELP 655 F.3d at 1007).</w:t>
      </w:r>
    </w:p>
  </w:footnote>
  <w:footnote w:id="98">
    <w:p w14:paraId="24B5ED7C" w14:textId="1E2783FA" w:rsidR="00765734" w:rsidRDefault="00765734">
      <w:pPr>
        <w:pStyle w:val="FootnoteText"/>
      </w:pPr>
      <w:r w:rsidRPr="00C064A1">
        <w:rPr>
          <w:rStyle w:val="FootnoteReference"/>
          <w:rFonts w:ascii="Times New Roman" w:hAnsi="Times New Roman" w:cs="Times New Roman"/>
          <w:sz w:val="20"/>
          <w:szCs w:val="20"/>
        </w:rPr>
        <w:footnoteRef/>
      </w:r>
      <w:r w:rsidRPr="00C064A1">
        <w:rPr>
          <w:rFonts w:ascii="Times New Roman" w:hAnsi="Times New Roman" w:cs="Times New Roman"/>
          <w:sz w:val="20"/>
          <w:szCs w:val="20"/>
        </w:rPr>
        <w:t xml:space="preserve"> </w:t>
      </w:r>
      <w:r w:rsidRPr="00C064A1">
        <w:rPr>
          <w:rFonts w:ascii="Times New Roman" w:hAnsi="Times New Roman" w:cs="Times New Roman"/>
          <w:i/>
          <w:sz w:val="20"/>
          <w:szCs w:val="20"/>
        </w:rPr>
        <w:t>See</w:t>
      </w:r>
      <w:r w:rsidRPr="00C064A1">
        <w:rPr>
          <w:rFonts w:ascii="Times New Roman" w:hAnsi="Times New Roman" w:cs="Times New Roman"/>
          <w:sz w:val="20"/>
          <w:szCs w:val="20"/>
        </w:rPr>
        <w:t xml:space="preserve"> FRIENDS, 875 F.Supp.2d at 1220</w:t>
      </w:r>
      <w:r>
        <w:rPr>
          <w:rFonts w:ascii="Times New Roman" w:hAnsi="Times New Roman" w:cs="Times New Roman"/>
          <w:sz w:val="20"/>
          <w:szCs w:val="20"/>
        </w:rPr>
        <w:t xml:space="preserve"> (failing to cite CELP, 655 F.3d at 1007; and TE-MOAK, 608 F.3d at 603).</w:t>
      </w:r>
    </w:p>
  </w:footnote>
  <w:footnote w:id="99">
    <w:p w14:paraId="2676EE17" w14:textId="74E2C1D3" w:rsidR="00765734" w:rsidRDefault="00765734" w:rsidP="00E10615">
      <w:pPr>
        <w:pStyle w:val="FootnoteText"/>
        <w:rPr>
          <w:rFonts w:ascii="Times New Roman" w:hAnsi="Times New Roman"/>
          <w:sz w:val="20"/>
          <w:szCs w:val="20"/>
        </w:rPr>
      </w:pPr>
      <w:r>
        <w:rPr>
          <w:rStyle w:val="FootnoteReference"/>
          <w:rFonts w:ascii="Times New Roman" w:hAnsi="Times New Roman"/>
          <w:sz w:val="20"/>
          <w:szCs w:val="20"/>
        </w:rPr>
        <w:footnoteRef/>
      </w:r>
      <w:r>
        <w:rPr>
          <w:rFonts w:ascii="Times New Roman" w:hAnsi="Times New Roman"/>
          <w:sz w:val="20"/>
          <w:szCs w:val="20"/>
        </w:rPr>
        <w:t xml:space="preserve"> </w:t>
      </w:r>
      <w:r>
        <w:rPr>
          <w:rFonts w:ascii="Times New Roman" w:hAnsi="Times New Roman" w:cs="Times New Roman"/>
          <w:sz w:val="20"/>
          <w:szCs w:val="20"/>
        </w:rPr>
        <w:t>CELP, 655 F.3d at 1007.</w:t>
      </w:r>
    </w:p>
  </w:footnote>
  <w:footnote w:id="100">
    <w:p w14:paraId="7F27D29E" w14:textId="2FC1F8EF" w:rsidR="00765734" w:rsidRPr="00A81A70" w:rsidRDefault="00765734">
      <w:pPr>
        <w:pStyle w:val="FootnoteText"/>
        <w:rPr>
          <w:rFonts w:ascii="Times New Roman" w:hAnsi="Times New Roman" w:cs="Times New Roman"/>
          <w:sz w:val="20"/>
          <w:szCs w:val="20"/>
        </w:rPr>
      </w:pPr>
      <w:r w:rsidRPr="00A81A70">
        <w:rPr>
          <w:rStyle w:val="FootnoteReference"/>
          <w:rFonts w:ascii="Times New Roman" w:hAnsi="Times New Roman" w:cs="Times New Roman"/>
          <w:sz w:val="20"/>
          <w:szCs w:val="20"/>
        </w:rPr>
        <w:footnoteRef/>
      </w:r>
      <w:r w:rsidRPr="00A81A70">
        <w:rPr>
          <w:rFonts w:ascii="Times New Roman" w:hAnsi="Times New Roman" w:cs="Times New Roman"/>
          <w:sz w:val="20"/>
          <w:szCs w:val="20"/>
        </w:rPr>
        <w:t xml:space="preserve"> </w:t>
      </w:r>
      <w:r>
        <w:rPr>
          <w:rFonts w:ascii="Times New Roman" w:hAnsi="Times New Roman" w:cs="Times New Roman"/>
          <w:sz w:val="20"/>
          <w:szCs w:val="20"/>
        </w:rPr>
        <w:t>TE-MOAK, 608 F.3d at 603.</w:t>
      </w:r>
    </w:p>
  </w:footnote>
  <w:footnote w:id="101">
    <w:p w14:paraId="3D7A1CFA" w14:textId="4F56817B" w:rsidR="00765734" w:rsidRPr="00A81A70" w:rsidRDefault="00765734">
      <w:pPr>
        <w:pStyle w:val="FootnoteText"/>
        <w:rPr>
          <w:rFonts w:ascii="Times New Roman" w:hAnsi="Times New Roman" w:cs="Times New Roman"/>
          <w:sz w:val="20"/>
          <w:szCs w:val="20"/>
        </w:rPr>
      </w:pPr>
      <w:r w:rsidRPr="00A81A70">
        <w:rPr>
          <w:rStyle w:val="FootnoteReference"/>
          <w:rFonts w:ascii="Times New Roman" w:hAnsi="Times New Roman" w:cs="Times New Roman"/>
          <w:sz w:val="20"/>
          <w:szCs w:val="20"/>
        </w:rPr>
        <w:footnoteRef/>
      </w:r>
      <w:r w:rsidRPr="00A81A70">
        <w:rPr>
          <w:rFonts w:ascii="Times New Roman" w:hAnsi="Times New Roman" w:cs="Times New Roman"/>
          <w:sz w:val="20"/>
          <w:szCs w:val="20"/>
        </w:rPr>
        <w:t xml:space="preserve"> </w:t>
      </w:r>
      <w:r>
        <w:rPr>
          <w:rFonts w:ascii="Times New Roman" w:hAnsi="Times New Roman" w:cs="Times New Roman"/>
          <w:i/>
          <w:sz w:val="20"/>
          <w:szCs w:val="20"/>
        </w:rPr>
        <w:t>Id</w:t>
      </w:r>
      <w:r>
        <w:rPr>
          <w:rFonts w:ascii="Times New Roman" w:hAnsi="Times New Roman" w:cs="Times New Roman"/>
          <w:sz w:val="20"/>
          <w:szCs w:val="20"/>
        </w:rPr>
        <w:t>.</w:t>
      </w:r>
    </w:p>
  </w:footnote>
  <w:footnote w:id="102">
    <w:p w14:paraId="64BF2403" w14:textId="1F1544E4" w:rsidR="00765734" w:rsidRPr="009F17BA" w:rsidRDefault="00765734">
      <w:pPr>
        <w:pStyle w:val="FootnoteText"/>
        <w:rPr>
          <w:rFonts w:ascii="Times New Roman" w:hAnsi="Times New Roman" w:cs="Times New Roman"/>
          <w:sz w:val="20"/>
          <w:szCs w:val="20"/>
        </w:rPr>
      </w:pPr>
      <w:r w:rsidRPr="009F17BA">
        <w:rPr>
          <w:rStyle w:val="FootnoteReference"/>
          <w:rFonts w:ascii="Times New Roman" w:hAnsi="Times New Roman" w:cs="Times New Roman"/>
          <w:sz w:val="20"/>
          <w:szCs w:val="20"/>
        </w:rPr>
        <w:footnoteRef/>
      </w:r>
      <w:r w:rsidRPr="009F17BA">
        <w:rPr>
          <w:rFonts w:ascii="Times New Roman" w:hAnsi="Times New Roman" w:cs="Times New Roman"/>
          <w:sz w:val="20"/>
          <w:szCs w:val="20"/>
        </w:rPr>
        <w:t xml:space="preserve"> </w:t>
      </w:r>
      <w:r w:rsidRPr="009F17BA">
        <w:rPr>
          <w:rFonts w:ascii="Times New Roman" w:hAnsi="Times New Roman" w:cs="Times New Roman"/>
          <w:i/>
          <w:sz w:val="20"/>
          <w:szCs w:val="20"/>
        </w:rPr>
        <w:t xml:space="preserve">See </w:t>
      </w:r>
      <w:r w:rsidRPr="009F17BA">
        <w:rPr>
          <w:rFonts w:ascii="Times New Roman" w:hAnsi="Times New Roman" w:cs="Times New Roman"/>
          <w:sz w:val="20"/>
          <w:szCs w:val="20"/>
        </w:rPr>
        <w:t>TE-MOAK, note 54.</w:t>
      </w:r>
    </w:p>
  </w:footnote>
  <w:footnote w:id="103">
    <w:p w14:paraId="475B479C" w14:textId="4A373731" w:rsidR="00765734" w:rsidRPr="009F17BA" w:rsidRDefault="00765734">
      <w:pPr>
        <w:pStyle w:val="FootnoteText"/>
        <w:rPr>
          <w:rFonts w:ascii="Times New Roman" w:hAnsi="Times New Roman" w:cs="Times New Roman"/>
          <w:i/>
          <w:sz w:val="20"/>
          <w:szCs w:val="20"/>
        </w:rPr>
      </w:pPr>
      <w:r w:rsidRPr="009F17BA">
        <w:rPr>
          <w:rStyle w:val="FootnoteReference"/>
          <w:rFonts w:ascii="Times New Roman" w:hAnsi="Times New Roman" w:cs="Times New Roman"/>
          <w:sz w:val="20"/>
          <w:szCs w:val="20"/>
        </w:rPr>
        <w:footnoteRef/>
      </w:r>
      <w:r w:rsidRPr="009F17BA">
        <w:rPr>
          <w:rFonts w:ascii="Times New Roman" w:hAnsi="Times New Roman" w:cs="Times New Roman"/>
          <w:sz w:val="20"/>
          <w:szCs w:val="20"/>
        </w:rPr>
        <w:t xml:space="preserve"> </w:t>
      </w:r>
      <w:r w:rsidRPr="009F17BA">
        <w:rPr>
          <w:rFonts w:ascii="Times New Roman" w:hAnsi="Times New Roman" w:cs="Times New Roman"/>
          <w:i/>
          <w:sz w:val="20"/>
          <w:szCs w:val="20"/>
        </w:rPr>
        <w:t>See generally</w:t>
      </w:r>
      <w:r w:rsidRPr="009F17BA">
        <w:rPr>
          <w:rFonts w:ascii="Times New Roman" w:hAnsi="Times New Roman" w:cs="Times New Roman"/>
          <w:sz w:val="20"/>
          <w:szCs w:val="20"/>
        </w:rPr>
        <w:t xml:space="preserve"> FRIENDS at 1220.</w:t>
      </w:r>
    </w:p>
  </w:footnote>
  <w:footnote w:id="104">
    <w:p w14:paraId="2AF02F6A" w14:textId="1A4FC10F" w:rsidR="00765734" w:rsidRPr="009F17BA" w:rsidRDefault="00765734">
      <w:pPr>
        <w:pStyle w:val="FootnoteText"/>
        <w:rPr>
          <w:rFonts w:ascii="Times New Roman" w:hAnsi="Times New Roman" w:cs="Times New Roman"/>
          <w:sz w:val="20"/>
          <w:szCs w:val="20"/>
        </w:rPr>
      </w:pPr>
      <w:r w:rsidRPr="009F17BA">
        <w:rPr>
          <w:rStyle w:val="FootnoteReference"/>
          <w:rFonts w:ascii="Times New Roman" w:hAnsi="Times New Roman" w:cs="Times New Roman"/>
          <w:sz w:val="20"/>
          <w:szCs w:val="20"/>
        </w:rPr>
        <w:footnoteRef/>
      </w:r>
      <w:r w:rsidRPr="009F17BA">
        <w:rPr>
          <w:rFonts w:ascii="Times New Roman" w:hAnsi="Times New Roman" w:cs="Times New Roman"/>
          <w:sz w:val="20"/>
          <w:szCs w:val="20"/>
        </w:rPr>
        <w:t xml:space="preserve"> </w:t>
      </w:r>
      <w:r w:rsidRPr="009F17BA">
        <w:rPr>
          <w:rFonts w:ascii="Times New Roman" w:hAnsi="Times New Roman" w:cs="Times New Roman"/>
          <w:i/>
          <w:sz w:val="20"/>
          <w:szCs w:val="20"/>
        </w:rPr>
        <w:t>See</w:t>
      </w:r>
      <w:r w:rsidRPr="009F17BA">
        <w:rPr>
          <w:rFonts w:ascii="Times New Roman" w:hAnsi="Times New Roman" w:cs="Times New Roman"/>
          <w:sz w:val="20"/>
          <w:szCs w:val="20"/>
        </w:rPr>
        <w:t xml:space="preserve"> GUIDANCE MEMORANDUM at note 69.</w:t>
      </w:r>
    </w:p>
  </w:footnote>
  <w:footnote w:id="105">
    <w:p w14:paraId="321670F2" w14:textId="046440F8" w:rsidR="00765734" w:rsidRPr="009F17BA" w:rsidRDefault="00765734">
      <w:pPr>
        <w:pStyle w:val="FootnoteText"/>
        <w:rPr>
          <w:rFonts w:ascii="Times New Roman" w:hAnsi="Times New Roman" w:cs="Times New Roman"/>
          <w:sz w:val="20"/>
          <w:szCs w:val="20"/>
        </w:rPr>
      </w:pPr>
      <w:r w:rsidRPr="009F17BA">
        <w:rPr>
          <w:rStyle w:val="FootnoteReference"/>
          <w:rFonts w:ascii="Times New Roman" w:hAnsi="Times New Roman" w:cs="Times New Roman"/>
          <w:sz w:val="20"/>
          <w:szCs w:val="20"/>
        </w:rPr>
        <w:footnoteRef/>
      </w:r>
      <w:r w:rsidRPr="009F17BA">
        <w:rPr>
          <w:rFonts w:ascii="Times New Roman" w:hAnsi="Times New Roman" w:cs="Times New Roman"/>
          <w:sz w:val="20"/>
          <w:szCs w:val="20"/>
        </w:rPr>
        <w:t xml:space="preserve"> </w:t>
      </w:r>
      <w:r w:rsidRPr="009F17BA">
        <w:rPr>
          <w:rFonts w:ascii="Times New Roman" w:hAnsi="Times New Roman" w:cs="Times New Roman"/>
          <w:i/>
          <w:sz w:val="20"/>
          <w:szCs w:val="20"/>
        </w:rPr>
        <w:t>See</w:t>
      </w:r>
      <w:r w:rsidRPr="009F17BA">
        <w:rPr>
          <w:rFonts w:ascii="Times New Roman" w:hAnsi="Times New Roman" w:cs="Times New Roman"/>
          <w:sz w:val="20"/>
          <w:szCs w:val="20"/>
        </w:rPr>
        <w:t xml:space="preserve"> LOWD at note 70.</w:t>
      </w:r>
    </w:p>
  </w:footnote>
  <w:footnote w:id="106">
    <w:p w14:paraId="279D9CE9" w14:textId="047FFC0F" w:rsidR="00765734" w:rsidRPr="009F17BA" w:rsidRDefault="00765734">
      <w:pPr>
        <w:pStyle w:val="FootnoteText"/>
        <w:rPr>
          <w:rFonts w:ascii="Times New Roman" w:hAnsi="Times New Roman" w:cs="Times New Roman"/>
          <w:sz w:val="20"/>
          <w:szCs w:val="20"/>
        </w:rPr>
      </w:pPr>
      <w:r w:rsidRPr="009F17BA">
        <w:rPr>
          <w:rStyle w:val="FootnoteReference"/>
          <w:rFonts w:ascii="Times New Roman" w:hAnsi="Times New Roman" w:cs="Times New Roman"/>
          <w:sz w:val="20"/>
          <w:szCs w:val="20"/>
        </w:rPr>
        <w:footnoteRef/>
      </w:r>
      <w:r w:rsidRPr="009F17BA">
        <w:rPr>
          <w:rFonts w:ascii="Times New Roman" w:hAnsi="Times New Roman" w:cs="Times New Roman"/>
          <w:sz w:val="20"/>
          <w:szCs w:val="20"/>
        </w:rPr>
        <w:t xml:space="preserve"> </w:t>
      </w:r>
      <w:r w:rsidRPr="009F17BA">
        <w:rPr>
          <w:rFonts w:ascii="Times New Roman" w:hAnsi="Times New Roman" w:cs="Times New Roman"/>
          <w:i/>
          <w:sz w:val="20"/>
          <w:szCs w:val="20"/>
        </w:rPr>
        <w:t>See</w:t>
      </w:r>
      <w:r w:rsidRPr="009F17BA">
        <w:rPr>
          <w:rFonts w:ascii="Times New Roman" w:hAnsi="Times New Roman" w:cs="Times New Roman"/>
          <w:sz w:val="20"/>
          <w:szCs w:val="20"/>
        </w:rPr>
        <w:t xml:space="preserve"> CELP at note 63.</w:t>
      </w:r>
    </w:p>
  </w:footnote>
  <w:footnote w:id="107">
    <w:p w14:paraId="5332BC5F" w14:textId="3CF588F7" w:rsidR="00765734" w:rsidRPr="009F17BA" w:rsidRDefault="00765734">
      <w:pPr>
        <w:pStyle w:val="FootnoteText"/>
        <w:rPr>
          <w:rFonts w:ascii="Times New Roman" w:hAnsi="Times New Roman" w:cs="Times New Roman"/>
          <w:sz w:val="20"/>
          <w:szCs w:val="20"/>
        </w:rPr>
      </w:pPr>
      <w:r w:rsidRPr="009F17BA">
        <w:rPr>
          <w:rStyle w:val="FootnoteReference"/>
          <w:rFonts w:ascii="Times New Roman" w:hAnsi="Times New Roman" w:cs="Times New Roman"/>
          <w:sz w:val="20"/>
          <w:szCs w:val="20"/>
        </w:rPr>
        <w:footnoteRef/>
      </w:r>
      <w:r w:rsidRPr="009F17BA">
        <w:rPr>
          <w:rFonts w:ascii="Times New Roman" w:hAnsi="Times New Roman" w:cs="Times New Roman"/>
          <w:sz w:val="20"/>
          <w:szCs w:val="20"/>
        </w:rPr>
        <w:t xml:space="preserve"> </w:t>
      </w:r>
      <w:r w:rsidRPr="009F17BA">
        <w:rPr>
          <w:rFonts w:ascii="Times New Roman" w:hAnsi="Times New Roman" w:cs="Times New Roman"/>
          <w:i/>
          <w:sz w:val="20"/>
          <w:szCs w:val="20"/>
        </w:rPr>
        <w:t xml:space="preserve">See </w:t>
      </w:r>
      <w:r w:rsidRPr="009F17BA">
        <w:rPr>
          <w:rFonts w:ascii="Times New Roman" w:hAnsi="Times New Roman" w:cs="Times New Roman"/>
          <w:sz w:val="20"/>
          <w:szCs w:val="20"/>
        </w:rPr>
        <w:t>FRIENDS at note 93.</w:t>
      </w:r>
    </w:p>
  </w:footnote>
  <w:footnote w:id="108">
    <w:p w14:paraId="2F2304C8" w14:textId="16F73456" w:rsidR="00765734" w:rsidRPr="009F17BA" w:rsidRDefault="00765734">
      <w:pPr>
        <w:pStyle w:val="FootnoteText"/>
        <w:rPr>
          <w:rFonts w:ascii="Times New Roman" w:hAnsi="Times New Roman" w:cs="Times New Roman"/>
          <w:sz w:val="20"/>
          <w:szCs w:val="20"/>
        </w:rPr>
      </w:pPr>
      <w:r w:rsidRPr="009F17BA">
        <w:rPr>
          <w:rStyle w:val="FootnoteReference"/>
          <w:rFonts w:ascii="Times New Roman" w:hAnsi="Times New Roman" w:cs="Times New Roman"/>
          <w:sz w:val="20"/>
          <w:szCs w:val="20"/>
        </w:rPr>
        <w:footnoteRef/>
      </w:r>
      <w:r w:rsidRPr="009F17BA">
        <w:rPr>
          <w:rFonts w:ascii="Times New Roman" w:hAnsi="Times New Roman" w:cs="Times New Roman"/>
          <w:sz w:val="20"/>
          <w:szCs w:val="20"/>
        </w:rPr>
        <w:t xml:space="preserve"> </w:t>
      </w:r>
      <w:r w:rsidRPr="009F17BA">
        <w:rPr>
          <w:rFonts w:ascii="Times New Roman" w:hAnsi="Times New Roman" w:cs="Times New Roman"/>
          <w:i/>
          <w:sz w:val="20"/>
          <w:szCs w:val="20"/>
        </w:rPr>
        <w:t>See</w:t>
      </w:r>
      <w:r w:rsidRPr="009F17BA">
        <w:rPr>
          <w:rFonts w:ascii="Times New Roman" w:hAnsi="Times New Roman" w:cs="Times New Roman"/>
          <w:sz w:val="20"/>
          <w:szCs w:val="20"/>
        </w:rPr>
        <w:t xml:space="preserve"> CELP at note 62.</w:t>
      </w:r>
    </w:p>
  </w:footnote>
  <w:footnote w:id="109">
    <w:p w14:paraId="26107F4D" w14:textId="198AF112" w:rsidR="00765734" w:rsidRDefault="00765734">
      <w:pPr>
        <w:pStyle w:val="FootnoteText"/>
      </w:pPr>
      <w:r w:rsidRPr="009F17BA">
        <w:rPr>
          <w:rStyle w:val="FootnoteReference"/>
          <w:rFonts w:ascii="Times New Roman" w:hAnsi="Times New Roman" w:cs="Times New Roman"/>
          <w:sz w:val="20"/>
          <w:szCs w:val="20"/>
        </w:rPr>
        <w:footnoteRef/>
      </w:r>
      <w:r w:rsidRPr="009F17BA">
        <w:rPr>
          <w:rFonts w:ascii="Times New Roman" w:hAnsi="Times New Roman" w:cs="Times New Roman"/>
          <w:sz w:val="20"/>
          <w:szCs w:val="20"/>
        </w:rPr>
        <w:t xml:space="preserve"> </w:t>
      </w:r>
      <w:r w:rsidRPr="009F17BA">
        <w:rPr>
          <w:rFonts w:ascii="Times New Roman" w:hAnsi="Times New Roman" w:cs="Times New Roman"/>
          <w:i/>
          <w:sz w:val="20"/>
          <w:szCs w:val="20"/>
        </w:rPr>
        <w:t xml:space="preserve">See </w:t>
      </w:r>
      <w:r w:rsidRPr="009F17BA">
        <w:rPr>
          <w:rFonts w:ascii="Times New Roman" w:hAnsi="Times New Roman" w:cs="Times New Roman"/>
          <w:sz w:val="20"/>
          <w:szCs w:val="20"/>
        </w:rPr>
        <w:t>FRIENDS at note 96.</w:t>
      </w:r>
    </w:p>
  </w:footnote>
  <w:footnote w:id="110">
    <w:p w14:paraId="26B6B28D" w14:textId="39378B7F" w:rsidR="00765734" w:rsidRPr="009F17BA" w:rsidRDefault="00765734">
      <w:pPr>
        <w:pStyle w:val="FootnoteText"/>
        <w:rPr>
          <w:rFonts w:ascii="Times New Roman" w:hAnsi="Times New Roman" w:cs="Times New Roman"/>
          <w:sz w:val="20"/>
          <w:szCs w:val="20"/>
        </w:rPr>
      </w:pPr>
      <w:r w:rsidRPr="009F17BA">
        <w:rPr>
          <w:rStyle w:val="FootnoteReference"/>
          <w:rFonts w:ascii="Times New Roman" w:hAnsi="Times New Roman" w:cs="Times New Roman"/>
          <w:sz w:val="20"/>
          <w:szCs w:val="20"/>
        </w:rPr>
        <w:footnoteRef/>
      </w:r>
      <w:r w:rsidRPr="009F17BA">
        <w:rPr>
          <w:rFonts w:ascii="Times New Roman" w:hAnsi="Times New Roman" w:cs="Times New Roman"/>
          <w:sz w:val="20"/>
          <w:szCs w:val="20"/>
        </w:rPr>
        <w:t xml:space="preserve"> </w:t>
      </w:r>
      <w:r w:rsidRPr="009F17BA">
        <w:rPr>
          <w:rFonts w:ascii="Times New Roman" w:hAnsi="Times New Roman" w:cs="Times New Roman"/>
          <w:i/>
          <w:sz w:val="20"/>
          <w:szCs w:val="20"/>
        </w:rPr>
        <w:t>See</w:t>
      </w:r>
      <w:r w:rsidRPr="009F17BA">
        <w:rPr>
          <w:rFonts w:ascii="Times New Roman" w:hAnsi="Times New Roman" w:cs="Times New Roman"/>
          <w:sz w:val="20"/>
          <w:szCs w:val="20"/>
        </w:rPr>
        <w:t xml:space="preserve"> GUIDANCE MEMORANDUM at note 69.</w:t>
      </w:r>
    </w:p>
  </w:footnote>
  <w:footnote w:id="111">
    <w:p w14:paraId="4A46B7FD" w14:textId="267FD413" w:rsidR="00765734" w:rsidRPr="009F17BA" w:rsidRDefault="00765734">
      <w:pPr>
        <w:pStyle w:val="FootnoteText"/>
        <w:rPr>
          <w:rFonts w:ascii="Times New Roman" w:hAnsi="Times New Roman" w:cs="Times New Roman"/>
          <w:sz w:val="20"/>
          <w:szCs w:val="20"/>
        </w:rPr>
      </w:pPr>
      <w:r w:rsidRPr="009F17BA">
        <w:rPr>
          <w:rStyle w:val="FootnoteReference"/>
          <w:rFonts w:ascii="Times New Roman" w:hAnsi="Times New Roman" w:cs="Times New Roman"/>
          <w:sz w:val="20"/>
          <w:szCs w:val="20"/>
        </w:rPr>
        <w:footnoteRef/>
      </w:r>
      <w:r w:rsidRPr="009F17BA">
        <w:rPr>
          <w:rFonts w:ascii="Times New Roman" w:hAnsi="Times New Roman" w:cs="Times New Roman"/>
          <w:sz w:val="20"/>
          <w:szCs w:val="20"/>
        </w:rPr>
        <w:t xml:space="preserve"> </w:t>
      </w:r>
      <w:r w:rsidRPr="009F17BA">
        <w:rPr>
          <w:rFonts w:ascii="Times New Roman" w:hAnsi="Times New Roman" w:cs="Times New Roman"/>
          <w:i/>
          <w:sz w:val="20"/>
          <w:szCs w:val="20"/>
        </w:rPr>
        <w:t>See</w:t>
      </w:r>
      <w:r w:rsidRPr="009F17BA">
        <w:rPr>
          <w:rFonts w:ascii="Times New Roman" w:hAnsi="Times New Roman" w:cs="Times New Roman"/>
          <w:sz w:val="20"/>
          <w:szCs w:val="20"/>
        </w:rPr>
        <w:t xml:space="preserve"> GUIDANCE MEMORANDUM at note 69, </w:t>
      </w:r>
      <w:r w:rsidRPr="009F17BA">
        <w:rPr>
          <w:rFonts w:ascii="Times New Roman" w:hAnsi="Times New Roman" w:cs="Times New Roman"/>
          <w:i/>
          <w:sz w:val="20"/>
          <w:szCs w:val="20"/>
        </w:rPr>
        <w:t>and see</w:t>
      </w:r>
      <w:r w:rsidRPr="009F17BA">
        <w:rPr>
          <w:rFonts w:ascii="Times New Roman" w:hAnsi="Times New Roman" w:cs="Times New Roman"/>
          <w:sz w:val="20"/>
          <w:szCs w:val="20"/>
        </w:rPr>
        <w:t xml:space="preserve"> LOWD at note 70.</w:t>
      </w:r>
    </w:p>
  </w:footnote>
  <w:footnote w:id="112">
    <w:p w14:paraId="6B71D17E" w14:textId="13064A90" w:rsidR="00765734" w:rsidRDefault="00765734">
      <w:pPr>
        <w:pStyle w:val="FootnoteText"/>
      </w:pPr>
      <w:r w:rsidRPr="009F17BA">
        <w:rPr>
          <w:rStyle w:val="FootnoteReference"/>
          <w:rFonts w:ascii="Times New Roman" w:hAnsi="Times New Roman" w:cs="Times New Roman"/>
          <w:sz w:val="20"/>
          <w:szCs w:val="20"/>
        </w:rPr>
        <w:footnoteRef/>
      </w:r>
      <w:r w:rsidRPr="009F17BA">
        <w:rPr>
          <w:rFonts w:ascii="Times New Roman" w:hAnsi="Times New Roman" w:cs="Times New Roman"/>
          <w:sz w:val="20"/>
          <w:szCs w:val="20"/>
        </w:rPr>
        <w:t xml:space="preserve"> </w:t>
      </w:r>
      <w:r w:rsidRPr="009F17BA">
        <w:rPr>
          <w:rFonts w:ascii="Times New Roman" w:hAnsi="Times New Roman" w:cs="Times New Roman"/>
          <w:i/>
          <w:sz w:val="20"/>
          <w:szCs w:val="20"/>
        </w:rPr>
        <w:t>See</w:t>
      </w:r>
      <w:r w:rsidRPr="009F17BA">
        <w:rPr>
          <w:rFonts w:ascii="Times New Roman" w:hAnsi="Times New Roman" w:cs="Times New Roman"/>
          <w:sz w:val="20"/>
          <w:szCs w:val="20"/>
        </w:rPr>
        <w:t xml:space="preserve"> CELP at note 63.</w:t>
      </w:r>
    </w:p>
  </w:footnote>
  <w:footnote w:id="113">
    <w:p w14:paraId="78344198" w14:textId="13E52684" w:rsidR="00765734" w:rsidRPr="000270BE" w:rsidRDefault="00765734">
      <w:pPr>
        <w:pStyle w:val="FootnoteText"/>
        <w:rPr>
          <w:rFonts w:ascii="Times New Roman" w:hAnsi="Times New Roman" w:cs="Times New Roman"/>
          <w:sz w:val="20"/>
          <w:szCs w:val="20"/>
        </w:rPr>
      </w:pPr>
      <w:r w:rsidRPr="000270BE">
        <w:rPr>
          <w:rStyle w:val="FootnoteReference"/>
          <w:rFonts w:ascii="Times New Roman" w:hAnsi="Times New Roman" w:cs="Times New Roman"/>
          <w:sz w:val="20"/>
          <w:szCs w:val="20"/>
        </w:rPr>
        <w:footnoteRef/>
      </w:r>
      <w:r w:rsidRPr="000270BE">
        <w:rPr>
          <w:rFonts w:ascii="Times New Roman" w:hAnsi="Times New Roman" w:cs="Times New Roman"/>
          <w:sz w:val="20"/>
          <w:szCs w:val="20"/>
        </w:rPr>
        <w:t xml:space="preserve"> </w:t>
      </w:r>
      <w:r w:rsidRPr="000270BE">
        <w:rPr>
          <w:rFonts w:ascii="Times New Roman" w:hAnsi="Times New Roman" w:cs="Times New Roman"/>
          <w:i/>
          <w:sz w:val="20"/>
          <w:szCs w:val="20"/>
        </w:rPr>
        <w:t>See generally</w:t>
      </w:r>
      <w:r w:rsidRPr="000270BE">
        <w:rPr>
          <w:rFonts w:ascii="Times New Roman" w:hAnsi="Times New Roman" w:cs="Times New Roman"/>
          <w:sz w:val="20"/>
          <w:szCs w:val="20"/>
        </w:rPr>
        <w:t xml:space="preserve"> FRIENDS at 1220.</w:t>
      </w:r>
    </w:p>
  </w:footnote>
  <w:footnote w:id="114">
    <w:p w14:paraId="59EBF49A" w14:textId="077F79B6" w:rsidR="00765734" w:rsidRPr="000270BE" w:rsidRDefault="00765734">
      <w:pPr>
        <w:pStyle w:val="FootnoteText"/>
        <w:rPr>
          <w:rFonts w:ascii="Times New Roman" w:hAnsi="Times New Roman" w:cs="Times New Roman"/>
          <w:sz w:val="20"/>
          <w:szCs w:val="20"/>
        </w:rPr>
      </w:pPr>
      <w:r w:rsidRPr="000270BE">
        <w:rPr>
          <w:rStyle w:val="FootnoteReference"/>
          <w:rFonts w:ascii="Times New Roman" w:hAnsi="Times New Roman" w:cs="Times New Roman"/>
          <w:sz w:val="20"/>
          <w:szCs w:val="20"/>
        </w:rPr>
        <w:footnoteRef/>
      </w:r>
      <w:r w:rsidRPr="000270BE">
        <w:rPr>
          <w:rFonts w:ascii="Times New Roman" w:hAnsi="Times New Roman" w:cs="Times New Roman"/>
          <w:sz w:val="20"/>
          <w:szCs w:val="20"/>
        </w:rPr>
        <w:t xml:space="preserve"> </w:t>
      </w:r>
      <w:r w:rsidRPr="000270BE">
        <w:rPr>
          <w:rFonts w:ascii="Times New Roman" w:hAnsi="Times New Roman" w:cs="Times New Roman"/>
          <w:i/>
          <w:sz w:val="20"/>
          <w:szCs w:val="20"/>
        </w:rPr>
        <w:t>Id</w:t>
      </w:r>
      <w:r w:rsidRPr="000270BE">
        <w:rPr>
          <w:rFonts w:ascii="Times New Roman" w:hAnsi="Times New Roman" w:cs="Times New Roman"/>
          <w:sz w:val="20"/>
          <w:szCs w:val="20"/>
        </w:rPr>
        <w:t>.</w:t>
      </w:r>
    </w:p>
  </w:footnote>
  <w:footnote w:id="115">
    <w:p w14:paraId="7D164C8D" w14:textId="46963623" w:rsidR="00765734" w:rsidRPr="000270BE" w:rsidRDefault="00765734">
      <w:pPr>
        <w:pStyle w:val="FootnoteText"/>
        <w:rPr>
          <w:rFonts w:ascii="Times New Roman" w:hAnsi="Times New Roman" w:cs="Times New Roman"/>
          <w:sz w:val="20"/>
          <w:szCs w:val="20"/>
        </w:rPr>
      </w:pPr>
      <w:r w:rsidRPr="000270BE">
        <w:rPr>
          <w:rStyle w:val="FootnoteReference"/>
          <w:rFonts w:ascii="Times New Roman" w:hAnsi="Times New Roman" w:cs="Times New Roman"/>
          <w:sz w:val="20"/>
          <w:szCs w:val="20"/>
        </w:rPr>
        <w:footnoteRef/>
      </w:r>
      <w:r w:rsidRPr="000270BE">
        <w:rPr>
          <w:rFonts w:ascii="Times New Roman" w:hAnsi="Times New Roman" w:cs="Times New Roman"/>
          <w:sz w:val="20"/>
          <w:szCs w:val="20"/>
        </w:rPr>
        <w:t xml:space="preserve"> </w:t>
      </w:r>
      <w:r w:rsidRPr="000270BE">
        <w:rPr>
          <w:rFonts w:ascii="Times New Roman" w:hAnsi="Times New Roman" w:cs="Times New Roman"/>
          <w:i/>
          <w:sz w:val="20"/>
          <w:szCs w:val="20"/>
        </w:rPr>
        <w:t>See</w:t>
      </w:r>
      <w:r w:rsidRPr="000270BE">
        <w:rPr>
          <w:rFonts w:ascii="Times New Roman" w:hAnsi="Times New Roman" w:cs="Times New Roman"/>
          <w:sz w:val="20"/>
          <w:szCs w:val="20"/>
        </w:rPr>
        <w:t xml:space="preserve"> CELP at 1008.</w:t>
      </w:r>
    </w:p>
  </w:footnote>
  <w:footnote w:id="116">
    <w:p w14:paraId="4DD325B3" w14:textId="11D90B98" w:rsidR="00765734" w:rsidRPr="000270BE" w:rsidRDefault="00765734">
      <w:pPr>
        <w:pStyle w:val="FootnoteText"/>
        <w:rPr>
          <w:rFonts w:ascii="Times New Roman" w:hAnsi="Times New Roman" w:cs="Times New Roman"/>
          <w:sz w:val="20"/>
          <w:szCs w:val="20"/>
        </w:rPr>
      </w:pPr>
      <w:r w:rsidRPr="000270BE">
        <w:rPr>
          <w:rStyle w:val="FootnoteReference"/>
          <w:rFonts w:ascii="Times New Roman" w:hAnsi="Times New Roman" w:cs="Times New Roman"/>
          <w:sz w:val="20"/>
          <w:szCs w:val="20"/>
        </w:rPr>
        <w:footnoteRef/>
      </w:r>
      <w:r w:rsidRPr="000270BE">
        <w:rPr>
          <w:rFonts w:ascii="Times New Roman" w:hAnsi="Times New Roman" w:cs="Times New Roman"/>
          <w:sz w:val="20"/>
          <w:szCs w:val="20"/>
        </w:rPr>
        <w:t xml:space="preserve"> </w:t>
      </w:r>
      <w:r w:rsidRPr="000270BE">
        <w:rPr>
          <w:rFonts w:ascii="Times New Roman" w:hAnsi="Times New Roman" w:cs="Times New Roman"/>
          <w:i/>
          <w:sz w:val="20"/>
          <w:szCs w:val="20"/>
        </w:rPr>
        <w:t>Id</w:t>
      </w:r>
      <w:r w:rsidRPr="000270BE">
        <w:rPr>
          <w:rFonts w:ascii="Times New Roman" w:hAnsi="Times New Roman" w:cs="Times New Roman"/>
          <w:sz w:val="20"/>
          <w:szCs w:val="20"/>
        </w:rPr>
        <w:t>.</w:t>
      </w:r>
    </w:p>
  </w:footnote>
  <w:footnote w:id="117">
    <w:p w14:paraId="5236FC7B" w14:textId="77777777" w:rsidR="00765734" w:rsidRPr="000270BE" w:rsidRDefault="00765734" w:rsidP="000270BE">
      <w:pPr>
        <w:pStyle w:val="FootnoteText"/>
        <w:rPr>
          <w:rFonts w:ascii="Times New Roman" w:hAnsi="Times New Roman" w:cs="Times New Roman"/>
          <w:sz w:val="20"/>
          <w:szCs w:val="20"/>
        </w:rPr>
      </w:pPr>
      <w:r w:rsidRPr="000270BE">
        <w:rPr>
          <w:rStyle w:val="FootnoteReference"/>
          <w:rFonts w:ascii="Times New Roman" w:hAnsi="Times New Roman" w:cs="Times New Roman"/>
          <w:sz w:val="20"/>
          <w:szCs w:val="20"/>
        </w:rPr>
        <w:footnoteRef/>
      </w:r>
      <w:r w:rsidRPr="000270BE">
        <w:rPr>
          <w:rFonts w:ascii="Times New Roman" w:hAnsi="Times New Roman" w:cs="Times New Roman"/>
          <w:sz w:val="20"/>
          <w:szCs w:val="20"/>
        </w:rPr>
        <w:t xml:space="preserve"> </w:t>
      </w:r>
      <w:r w:rsidRPr="000270BE">
        <w:rPr>
          <w:rFonts w:ascii="Times New Roman" w:hAnsi="Times New Roman" w:cs="Times New Roman"/>
          <w:i/>
          <w:sz w:val="20"/>
          <w:szCs w:val="20"/>
        </w:rPr>
        <w:t>Id</w:t>
      </w:r>
      <w:r w:rsidRPr="000270BE">
        <w:rPr>
          <w:rFonts w:ascii="Times New Roman" w:hAnsi="Times New Roman" w:cs="Times New Roman"/>
          <w:sz w:val="20"/>
          <w:szCs w:val="20"/>
        </w:rPr>
        <w:t>.</w:t>
      </w:r>
    </w:p>
  </w:footnote>
  <w:footnote w:id="118">
    <w:p w14:paraId="06D3BE17" w14:textId="38277D13" w:rsidR="00765734" w:rsidRPr="000270BE" w:rsidRDefault="00765734">
      <w:pPr>
        <w:pStyle w:val="FootnoteText"/>
        <w:rPr>
          <w:rFonts w:ascii="Times New Roman" w:hAnsi="Times New Roman" w:cs="Times New Roman"/>
          <w:sz w:val="20"/>
          <w:szCs w:val="20"/>
        </w:rPr>
      </w:pPr>
      <w:r w:rsidRPr="000270BE">
        <w:rPr>
          <w:rStyle w:val="FootnoteReference"/>
          <w:rFonts w:ascii="Times New Roman" w:hAnsi="Times New Roman" w:cs="Times New Roman"/>
          <w:sz w:val="20"/>
          <w:szCs w:val="20"/>
        </w:rPr>
        <w:footnoteRef/>
      </w:r>
      <w:r w:rsidRPr="000270BE">
        <w:rPr>
          <w:rFonts w:ascii="Times New Roman" w:hAnsi="Times New Roman" w:cs="Times New Roman"/>
          <w:sz w:val="20"/>
          <w:szCs w:val="20"/>
        </w:rPr>
        <w:t xml:space="preserve"> </w:t>
      </w:r>
      <w:r w:rsidRPr="000270BE">
        <w:rPr>
          <w:rFonts w:ascii="Times New Roman" w:hAnsi="Times New Roman" w:cs="Times New Roman"/>
          <w:i/>
          <w:sz w:val="20"/>
          <w:szCs w:val="20"/>
        </w:rPr>
        <w:t>See</w:t>
      </w:r>
      <w:r w:rsidRPr="000270BE">
        <w:rPr>
          <w:rFonts w:ascii="Times New Roman" w:hAnsi="Times New Roman" w:cs="Times New Roman"/>
          <w:sz w:val="20"/>
          <w:szCs w:val="20"/>
        </w:rPr>
        <w:t xml:space="preserve"> CELP at 1008.</w:t>
      </w:r>
    </w:p>
  </w:footnote>
  <w:footnote w:id="119">
    <w:p w14:paraId="576CA3B5" w14:textId="55DC04C3" w:rsidR="00765734" w:rsidRPr="00F54350" w:rsidRDefault="00765734">
      <w:pPr>
        <w:pStyle w:val="FootnoteText"/>
        <w:rPr>
          <w:rFonts w:ascii="Times New Roman" w:hAnsi="Times New Roman" w:cs="Times New Roman"/>
          <w:sz w:val="20"/>
          <w:szCs w:val="20"/>
        </w:rPr>
      </w:pPr>
      <w:r w:rsidRPr="00F54350">
        <w:rPr>
          <w:rStyle w:val="FootnoteReference"/>
          <w:rFonts w:ascii="Times New Roman" w:hAnsi="Times New Roman" w:cs="Times New Roman"/>
          <w:sz w:val="20"/>
          <w:szCs w:val="20"/>
        </w:rPr>
        <w:footnoteRef/>
      </w:r>
      <w:r w:rsidRPr="00F54350">
        <w:rPr>
          <w:rFonts w:ascii="Times New Roman" w:hAnsi="Times New Roman" w:cs="Times New Roman"/>
          <w:sz w:val="20"/>
          <w:szCs w:val="20"/>
        </w:rPr>
        <w:t xml:space="preserve"> </w:t>
      </w:r>
      <w:r w:rsidRPr="00F54350">
        <w:rPr>
          <w:rFonts w:ascii="Times New Roman" w:hAnsi="Times New Roman" w:cs="Times New Roman"/>
          <w:i/>
          <w:sz w:val="20"/>
          <w:szCs w:val="20"/>
        </w:rPr>
        <w:t>Id</w:t>
      </w:r>
      <w:r w:rsidRPr="00F54350">
        <w:rPr>
          <w:rFonts w:ascii="Times New Roman" w:hAnsi="Times New Roman" w:cs="Times New Roman"/>
          <w:sz w:val="20"/>
          <w:szCs w:val="20"/>
        </w:rPr>
        <w:t>.</w:t>
      </w:r>
    </w:p>
  </w:footnote>
  <w:footnote w:id="120">
    <w:p w14:paraId="5B9A2234" w14:textId="0C058998" w:rsidR="00765734" w:rsidRDefault="00765734">
      <w:pPr>
        <w:pStyle w:val="FootnoteText"/>
      </w:pPr>
      <w:r w:rsidRPr="00F54350">
        <w:rPr>
          <w:rStyle w:val="FootnoteReference"/>
          <w:rFonts w:ascii="Times New Roman" w:hAnsi="Times New Roman" w:cs="Times New Roman"/>
          <w:sz w:val="20"/>
          <w:szCs w:val="20"/>
        </w:rPr>
        <w:footnoteRef/>
      </w:r>
      <w:r w:rsidRPr="00F54350">
        <w:rPr>
          <w:rFonts w:ascii="Times New Roman" w:hAnsi="Times New Roman" w:cs="Times New Roman"/>
          <w:sz w:val="20"/>
          <w:szCs w:val="20"/>
        </w:rPr>
        <w:t xml:space="preserve"> </w:t>
      </w:r>
      <w:r w:rsidRPr="00F54350">
        <w:rPr>
          <w:rFonts w:ascii="Times New Roman" w:hAnsi="Times New Roman" w:cs="Times New Roman"/>
          <w:i/>
          <w:sz w:val="20"/>
          <w:szCs w:val="20"/>
        </w:rPr>
        <w:t>See</w:t>
      </w:r>
      <w:r w:rsidRPr="00F54350">
        <w:rPr>
          <w:rFonts w:ascii="Times New Roman" w:hAnsi="Times New Roman" w:cs="Times New Roman"/>
          <w:sz w:val="20"/>
          <w:szCs w:val="20"/>
        </w:rPr>
        <w:t xml:space="preserve"> CELP at 1009</w:t>
      </w:r>
      <w:r w:rsidRPr="000270BE">
        <w:rPr>
          <w:rFonts w:ascii="Times New Roman" w:hAnsi="Times New Roman" w:cs="Times New Roman"/>
          <w:sz w:val="20"/>
          <w:szCs w:val="20"/>
        </w:rPr>
        <w:t>.</w:t>
      </w:r>
    </w:p>
  </w:footnote>
  <w:footnote w:id="121">
    <w:p w14:paraId="4D4C7569" w14:textId="4B7C3847" w:rsidR="00765734" w:rsidRDefault="00765734" w:rsidP="00AB28C7">
      <w:pPr>
        <w:pStyle w:val="FootnoteText"/>
        <w:rPr>
          <w:rFonts w:ascii="Times New Roman" w:hAnsi="Times New Roman"/>
          <w:sz w:val="20"/>
          <w:szCs w:val="20"/>
        </w:rPr>
      </w:pPr>
      <w:r>
        <w:rPr>
          <w:rStyle w:val="FootnoteReference"/>
          <w:rFonts w:ascii="Times New Roman" w:hAnsi="Times New Roman"/>
          <w:sz w:val="20"/>
          <w:szCs w:val="20"/>
        </w:rPr>
        <w:footnoteRef/>
      </w:r>
      <w:r>
        <w:rPr>
          <w:rFonts w:ascii="Times New Roman" w:hAnsi="Times New Roman"/>
          <w:sz w:val="20"/>
          <w:szCs w:val="20"/>
        </w:rPr>
        <w:t xml:space="preserve"> </w:t>
      </w:r>
      <w:r>
        <w:rPr>
          <w:rFonts w:ascii="Times New Roman" w:hAnsi="Times New Roman"/>
          <w:i/>
          <w:sz w:val="20"/>
          <w:szCs w:val="20"/>
        </w:rPr>
        <w:t>Id</w:t>
      </w:r>
      <w:r>
        <w:rPr>
          <w:rFonts w:ascii="Times New Roman" w:hAnsi="Times New Roman"/>
          <w:sz w:val="20"/>
          <w:szCs w:val="20"/>
        </w:rPr>
        <w:t>.</w:t>
      </w:r>
    </w:p>
  </w:footnote>
  <w:footnote w:id="122">
    <w:p w14:paraId="094118EF" w14:textId="7852C4D5" w:rsidR="00765734" w:rsidRDefault="00765734" w:rsidP="00AB28C7">
      <w:pPr>
        <w:pStyle w:val="FootnoteText"/>
        <w:rPr>
          <w:rFonts w:ascii="Times New Roman" w:hAnsi="Times New Roman"/>
          <w:sz w:val="20"/>
          <w:szCs w:val="20"/>
        </w:rPr>
      </w:pPr>
      <w:r>
        <w:rPr>
          <w:rStyle w:val="FootnoteReference"/>
          <w:rFonts w:ascii="Times New Roman" w:hAnsi="Times New Roman"/>
          <w:sz w:val="20"/>
          <w:szCs w:val="20"/>
        </w:rPr>
        <w:footnoteRef/>
      </w:r>
      <w:r>
        <w:rPr>
          <w:rFonts w:ascii="Times New Roman" w:hAnsi="Times New Roman"/>
          <w:sz w:val="20"/>
          <w:szCs w:val="20"/>
        </w:rPr>
        <w:t xml:space="preserve"> 540 U.S. 461, 497 (citing, </w:t>
      </w:r>
      <w:r w:rsidRPr="00DE7DF2">
        <w:rPr>
          <w:rFonts w:ascii="Times New Roman" w:hAnsi="Times New Roman"/>
          <w:iCs/>
          <w:sz w:val="20"/>
          <w:szCs w:val="20"/>
        </w:rPr>
        <w:t>Bowman Transp., Inc. v. Arkansas—Best Freight System, Inc.,</w:t>
      </w:r>
      <w:r>
        <w:rPr>
          <w:rFonts w:ascii="Times New Roman" w:hAnsi="Times New Roman"/>
          <w:sz w:val="20"/>
          <w:szCs w:val="20"/>
        </w:rPr>
        <w:t xml:space="preserve"> 419 U.S. 281, 286 (1974)).</w:t>
      </w:r>
    </w:p>
  </w:footnote>
  <w:footnote w:id="123">
    <w:p w14:paraId="1B474B9B" w14:textId="0CA489B2" w:rsidR="00765734" w:rsidRPr="008F2D77" w:rsidRDefault="00765734">
      <w:pPr>
        <w:pStyle w:val="FootnoteText"/>
        <w:rPr>
          <w:rFonts w:ascii="Times New Roman" w:hAnsi="Times New Roman" w:cs="Times New Roman"/>
          <w:sz w:val="20"/>
          <w:szCs w:val="20"/>
        </w:rPr>
      </w:pPr>
      <w:r w:rsidRPr="008F2D77">
        <w:rPr>
          <w:rStyle w:val="FootnoteReference"/>
          <w:rFonts w:ascii="Times New Roman" w:hAnsi="Times New Roman" w:cs="Times New Roman"/>
          <w:sz w:val="20"/>
          <w:szCs w:val="20"/>
        </w:rPr>
        <w:footnoteRef/>
      </w:r>
      <w:r w:rsidRPr="008F2D77">
        <w:rPr>
          <w:rFonts w:ascii="Times New Roman" w:hAnsi="Times New Roman" w:cs="Times New Roman"/>
          <w:sz w:val="20"/>
          <w:szCs w:val="20"/>
        </w:rPr>
        <w:t xml:space="preserve"> </w:t>
      </w:r>
      <w:r w:rsidRPr="008F2D77">
        <w:rPr>
          <w:rFonts w:ascii="Times New Roman" w:hAnsi="Times New Roman" w:cs="Times New Roman"/>
          <w:i/>
          <w:sz w:val="20"/>
          <w:szCs w:val="20"/>
        </w:rPr>
        <w:t>See</w:t>
      </w:r>
      <w:r w:rsidRPr="008F2D77">
        <w:rPr>
          <w:rFonts w:ascii="Times New Roman" w:hAnsi="Times New Roman" w:cs="Times New Roman"/>
          <w:sz w:val="20"/>
          <w:szCs w:val="20"/>
        </w:rPr>
        <w:t xml:space="preserve"> CELP at 1009.</w:t>
      </w:r>
    </w:p>
  </w:footnote>
  <w:footnote w:id="124">
    <w:p w14:paraId="21664FDC" w14:textId="77777777" w:rsidR="00765734" w:rsidRDefault="00765734" w:rsidP="00AB28C7">
      <w:pPr>
        <w:pStyle w:val="FootnoteText"/>
        <w:rPr>
          <w:rFonts w:ascii="Times New Roman" w:hAnsi="Times New Roman"/>
          <w:sz w:val="20"/>
          <w:szCs w:val="20"/>
        </w:rPr>
      </w:pPr>
      <w:r>
        <w:rPr>
          <w:rStyle w:val="FootnoteReference"/>
          <w:rFonts w:ascii="Times New Roman" w:hAnsi="Times New Roman"/>
          <w:sz w:val="20"/>
          <w:szCs w:val="20"/>
        </w:rPr>
        <w:footnoteRef/>
      </w:r>
      <w:r>
        <w:rPr>
          <w:rFonts w:ascii="Times New Roman" w:hAnsi="Times New Roman"/>
          <w:sz w:val="20"/>
          <w:szCs w:val="20"/>
        </w:rPr>
        <w:t xml:space="preserve"> 574 F.3d 652, 667 (9thCir. 2009).</w:t>
      </w:r>
    </w:p>
  </w:footnote>
  <w:footnote w:id="125">
    <w:p w14:paraId="6D1265E3" w14:textId="77777777" w:rsidR="00765734" w:rsidRDefault="00765734" w:rsidP="00AB28C7">
      <w:pPr>
        <w:pStyle w:val="FootnoteText"/>
      </w:pPr>
      <w:r>
        <w:rPr>
          <w:rStyle w:val="FootnoteReference"/>
          <w:rFonts w:ascii="Times New Roman" w:hAnsi="Times New Roman"/>
          <w:sz w:val="20"/>
          <w:szCs w:val="20"/>
        </w:rPr>
        <w:footnoteRef/>
      </w:r>
      <w:r>
        <w:rPr>
          <w:rFonts w:ascii="Times New Roman" w:hAnsi="Times New Roman"/>
          <w:sz w:val="20"/>
          <w:szCs w:val="20"/>
        </w:rPr>
        <w:t xml:space="preserve"> </w:t>
      </w:r>
      <w:r>
        <w:rPr>
          <w:rFonts w:ascii="Times New Roman" w:hAnsi="Times New Roman"/>
          <w:color w:val="1C1C1C"/>
          <w:sz w:val="20"/>
          <w:szCs w:val="20"/>
        </w:rPr>
        <w:t>451 F.3d 1005, 1014 (9thCir. 2006).</w:t>
      </w:r>
    </w:p>
  </w:footnote>
  <w:footnote w:id="126">
    <w:p w14:paraId="11846D90" w14:textId="4F850E15" w:rsidR="00765734" w:rsidRPr="008F2D77" w:rsidRDefault="00765734">
      <w:pPr>
        <w:pStyle w:val="FootnoteText"/>
        <w:rPr>
          <w:rFonts w:ascii="Times New Roman" w:hAnsi="Times New Roman" w:cs="Times New Roman"/>
          <w:sz w:val="20"/>
          <w:szCs w:val="20"/>
        </w:rPr>
      </w:pPr>
      <w:r w:rsidRPr="008F2D77">
        <w:rPr>
          <w:rStyle w:val="FootnoteReference"/>
          <w:rFonts w:ascii="Times New Roman" w:hAnsi="Times New Roman" w:cs="Times New Roman"/>
          <w:sz w:val="20"/>
          <w:szCs w:val="20"/>
        </w:rPr>
        <w:footnoteRef/>
      </w:r>
      <w:r w:rsidRPr="008F2D77">
        <w:rPr>
          <w:rFonts w:ascii="Times New Roman" w:hAnsi="Times New Roman" w:cs="Times New Roman"/>
          <w:sz w:val="20"/>
          <w:szCs w:val="20"/>
        </w:rPr>
        <w:t xml:space="preserve"> </w:t>
      </w:r>
      <w:r w:rsidRPr="008F2D77">
        <w:rPr>
          <w:rFonts w:ascii="Times New Roman" w:hAnsi="Times New Roman" w:cs="Times New Roman"/>
          <w:i/>
          <w:sz w:val="20"/>
          <w:szCs w:val="20"/>
        </w:rPr>
        <w:t>See generally</w:t>
      </w:r>
      <w:r w:rsidRPr="008F2D77">
        <w:rPr>
          <w:rFonts w:ascii="Times New Roman" w:hAnsi="Times New Roman" w:cs="Times New Roman"/>
          <w:sz w:val="20"/>
          <w:szCs w:val="20"/>
        </w:rPr>
        <w:t xml:space="preserve"> FRIENDS at 1220.</w:t>
      </w:r>
    </w:p>
  </w:footnote>
  <w:footnote w:id="127">
    <w:p w14:paraId="1B154D11" w14:textId="539AE1AD" w:rsidR="00765734" w:rsidRPr="008F2D77" w:rsidRDefault="00765734">
      <w:pPr>
        <w:pStyle w:val="FootnoteText"/>
        <w:rPr>
          <w:rFonts w:ascii="Times New Roman" w:hAnsi="Times New Roman" w:cs="Times New Roman"/>
          <w:sz w:val="20"/>
          <w:szCs w:val="20"/>
        </w:rPr>
      </w:pPr>
      <w:r w:rsidRPr="008F2D77">
        <w:rPr>
          <w:rStyle w:val="FootnoteReference"/>
          <w:rFonts w:ascii="Times New Roman" w:hAnsi="Times New Roman" w:cs="Times New Roman"/>
          <w:sz w:val="20"/>
          <w:szCs w:val="20"/>
        </w:rPr>
        <w:footnoteRef/>
      </w:r>
      <w:r w:rsidRPr="008F2D77">
        <w:rPr>
          <w:rFonts w:ascii="Times New Roman" w:hAnsi="Times New Roman" w:cs="Times New Roman"/>
          <w:sz w:val="20"/>
          <w:szCs w:val="20"/>
        </w:rPr>
        <w:t xml:space="preserve"> </w:t>
      </w:r>
      <w:r w:rsidRPr="008F2D77">
        <w:rPr>
          <w:rFonts w:ascii="Times New Roman" w:hAnsi="Times New Roman" w:cs="Times New Roman"/>
          <w:i/>
          <w:sz w:val="20"/>
          <w:szCs w:val="20"/>
        </w:rPr>
        <w:t>See generally</w:t>
      </w:r>
      <w:r w:rsidRPr="008F2D77">
        <w:rPr>
          <w:rFonts w:ascii="Times New Roman" w:hAnsi="Times New Roman" w:cs="Times New Roman"/>
          <w:sz w:val="20"/>
          <w:szCs w:val="20"/>
        </w:rPr>
        <w:t xml:space="preserve"> FRIENDS at 1220.</w:t>
      </w:r>
    </w:p>
  </w:footnote>
  <w:footnote w:id="128">
    <w:p w14:paraId="196978C5" w14:textId="7291E3B5" w:rsidR="00765734" w:rsidRPr="008F2D77" w:rsidRDefault="00765734">
      <w:pPr>
        <w:pStyle w:val="FootnoteText"/>
        <w:rPr>
          <w:rFonts w:ascii="Times New Roman" w:hAnsi="Times New Roman" w:cs="Times New Roman"/>
          <w:sz w:val="20"/>
          <w:szCs w:val="20"/>
        </w:rPr>
      </w:pPr>
      <w:r w:rsidRPr="008F2D77">
        <w:rPr>
          <w:rStyle w:val="FootnoteReference"/>
          <w:rFonts w:ascii="Times New Roman" w:hAnsi="Times New Roman" w:cs="Times New Roman"/>
          <w:sz w:val="20"/>
          <w:szCs w:val="20"/>
        </w:rPr>
        <w:footnoteRef/>
      </w:r>
      <w:r w:rsidRPr="008F2D77">
        <w:rPr>
          <w:rFonts w:ascii="Times New Roman" w:hAnsi="Times New Roman" w:cs="Times New Roman"/>
          <w:sz w:val="20"/>
          <w:szCs w:val="20"/>
        </w:rPr>
        <w:t xml:space="preserve"> FRIENDS at 1220.</w:t>
      </w:r>
    </w:p>
  </w:footnote>
  <w:footnote w:id="129">
    <w:p w14:paraId="35AF5F76" w14:textId="77777777" w:rsidR="00765734" w:rsidRDefault="00765734" w:rsidP="00B46B91">
      <w:pPr>
        <w:pStyle w:val="FootnoteText"/>
        <w:rPr>
          <w:rFonts w:ascii="Times New Roman" w:hAnsi="Times New Roman"/>
          <w:sz w:val="20"/>
          <w:szCs w:val="20"/>
        </w:rPr>
      </w:pPr>
      <w:r>
        <w:rPr>
          <w:rStyle w:val="FootnoteReference"/>
          <w:rFonts w:ascii="Times New Roman" w:hAnsi="Times New Roman"/>
          <w:sz w:val="20"/>
          <w:szCs w:val="20"/>
        </w:rPr>
        <w:footnoteRef/>
      </w:r>
      <w:r>
        <w:rPr>
          <w:rFonts w:ascii="Times New Roman" w:hAnsi="Times New Roman"/>
          <w:sz w:val="20"/>
          <w:szCs w:val="20"/>
        </w:rPr>
        <w:t xml:space="preserve"> </w:t>
      </w:r>
      <w:r>
        <w:rPr>
          <w:rFonts w:ascii="Times New Roman" w:hAnsi="Times New Roman"/>
          <w:i/>
          <w:iCs/>
          <w:color w:val="1C1C1C"/>
          <w:sz w:val="20"/>
          <w:szCs w:val="20"/>
        </w:rPr>
        <w:t>Id.</w:t>
      </w:r>
    </w:p>
  </w:footnote>
  <w:footnote w:id="130">
    <w:p w14:paraId="2AD6D60B" w14:textId="49972943" w:rsidR="00765734" w:rsidRPr="00D87274" w:rsidRDefault="00765734">
      <w:pPr>
        <w:pStyle w:val="FootnoteText"/>
        <w:rPr>
          <w:rFonts w:ascii="Times New Roman" w:hAnsi="Times New Roman" w:cs="Times New Roman"/>
          <w:sz w:val="20"/>
          <w:szCs w:val="20"/>
        </w:rPr>
      </w:pPr>
      <w:r w:rsidRPr="00D87274">
        <w:rPr>
          <w:rStyle w:val="FootnoteReference"/>
          <w:rFonts w:ascii="Times New Roman" w:hAnsi="Times New Roman" w:cs="Times New Roman"/>
          <w:sz w:val="20"/>
          <w:szCs w:val="20"/>
        </w:rPr>
        <w:footnoteRef/>
      </w:r>
      <w:r w:rsidRPr="00D87274">
        <w:rPr>
          <w:rFonts w:ascii="Times New Roman" w:hAnsi="Times New Roman" w:cs="Times New Roman"/>
          <w:sz w:val="20"/>
          <w:szCs w:val="20"/>
        </w:rPr>
        <w:t xml:space="preserve"> </w:t>
      </w:r>
      <w:r>
        <w:rPr>
          <w:rFonts w:ascii="Times New Roman" w:hAnsi="Times New Roman" w:cs="Times New Roman"/>
          <w:sz w:val="20"/>
          <w:szCs w:val="20"/>
        </w:rPr>
        <w:t>FRIENDS at 1220 (note that the court cites to the same pages in the EA).</w:t>
      </w:r>
    </w:p>
  </w:footnote>
  <w:footnote w:id="131">
    <w:p w14:paraId="3CF364DF" w14:textId="39196011" w:rsidR="00765734" w:rsidRPr="00D87274" w:rsidRDefault="00765734">
      <w:pPr>
        <w:pStyle w:val="FootnoteText"/>
        <w:rPr>
          <w:rFonts w:ascii="Times New Roman" w:hAnsi="Times New Roman" w:cs="Times New Roman"/>
          <w:sz w:val="20"/>
          <w:szCs w:val="20"/>
        </w:rPr>
      </w:pPr>
      <w:r w:rsidRPr="00D87274">
        <w:rPr>
          <w:rStyle w:val="FootnoteReference"/>
          <w:rFonts w:ascii="Times New Roman" w:hAnsi="Times New Roman" w:cs="Times New Roman"/>
          <w:sz w:val="20"/>
          <w:szCs w:val="20"/>
        </w:rPr>
        <w:footnoteRef/>
      </w:r>
      <w:r w:rsidRPr="00D87274">
        <w:rPr>
          <w:rFonts w:ascii="Times New Roman" w:hAnsi="Times New Roman" w:cs="Times New Roman"/>
          <w:sz w:val="20"/>
          <w:szCs w:val="20"/>
        </w:rPr>
        <w:t xml:space="preserve"> </w:t>
      </w:r>
      <w:r w:rsidRPr="00D87274">
        <w:rPr>
          <w:rFonts w:ascii="Times New Roman" w:hAnsi="Times New Roman" w:cs="Times New Roman"/>
          <w:i/>
          <w:iCs/>
          <w:color w:val="1C1C1C"/>
          <w:sz w:val="20"/>
          <w:szCs w:val="20"/>
        </w:rPr>
        <w:t>Id.</w:t>
      </w:r>
    </w:p>
  </w:footnote>
  <w:footnote w:id="132">
    <w:p w14:paraId="46501D6D" w14:textId="3390DF7A" w:rsidR="00765734" w:rsidRPr="00D87274" w:rsidRDefault="00765734">
      <w:pPr>
        <w:pStyle w:val="FootnoteText"/>
        <w:rPr>
          <w:rFonts w:ascii="Times New Roman" w:hAnsi="Times New Roman" w:cs="Times New Roman"/>
          <w:sz w:val="20"/>
          <w:szCs w:val="20"/>
        </w:rPr>
      </w:pPr>
      <w:r w:rsidRPr="00D87274">
        <w:rPr>
          <w:rStyle w:val="FootnoteReference"/>
          <w:rFonts w:ascii="Times New Roman" w:hAnsi="Times New Roman" w:cs="Times New Roman"/>
          <w:sz w:val="20"/>
          <w:szCs w:val="20"/>
        </w:rPr>
        <w:footnoteRef/>
      </w:r>
      <w:r w:rsidRPr="00D87274">
        <w:rPr>
          <w:rFonts w:ascii="Times New Roman" w:hAnsi="Times New Roman" w:cs="Times New Roman"/>
          <w:sz w:val="20"/>
          <w:szCs w:val="20"/>
        </w:rPr>
        <w:t xml:space="preserve"> </w:t>
      </w:r>
      <w:r w:rsidRPr="00D87274">
        <w:rPr>
          <w:rFonts w:ascii="Times New Roman" w:hAnsi="Times New Roman" w:cs="Times New Roman"/>
          <w:i/>
          <w:iCs/>
          <w:color w:val="1C1C1C"/>
          <w:sz w:val="20"/>
          <w:szCs w:val="20"/>
        </w:rPr>
        <w:t>Id.</w:t>
      </w:r>
    </w:p>
  </w:footnote>
  <w:footnote w:id="133">
    <w:p w14:paraId="0C9B2DFE" w14:textId="054746E8" w:rsidR="00765734" w:rsidRPr="00D87274" w:rsidRDefault="00765734">
      <w:pPr>
        <w:pStyle w:val="FootnoteText"/>
        <w:rPr>
          <w:rFonts w:ascii="Times New Roman" w:hAnsi="Times New Roman" w:cs="Times New Roman"/>
          <w:sz w:val="20"/>
          <w:szCs w:val="20"/>
        </w:rPr>
      </w:pPr>
      <w:r w:rsidRPr="00D87274">
        <w:rPr>
          <w:rStyle w:val="FootnoteReference"/>
          <w:rFonts w:ascii="Times New Roman" w:hAnsi="Times New Roman" w:cs="Times New Roman"/>
          <w:sz w:val="20"/>
          <w:szCs w:val="20"/>
        </w:rPr>
        <w:footnoteRef/>
      </w:r>
      <w:r w:rsidRPr="00D87274">
        <w:rPr>
          <w:rFonts w:ascii="Times New Roman" w:hAnsi="Times New Roman" w:cs="Times New Roman"/>
          <w:sz w:val="20"/>
          <w:szCs w:val="20"/>
        </w:rPr>
        <w:t xml:space="preserve"> </w:t>
      </w:r>
      <w:r w:rsidRPr="00D87274">
        <w:rPr>
          <w:rFonts w:ascii="Times New Roman" w:hAnsi="Times New Roman" w:cs="Times New Roman"/>
          <w:i/>
          <w:sz w:val="20"/>
          <w:szCs w:val="20"/>
        </w:rPr>
        <w:t>See</w:t>
      </w:r>
      <w:r w:rsidRPr="00D87274">
        <w:rPr>
          <w:rFonts w:ascii="Times New Roman" w:hAnsi="Times New Roman" w:cs="Times New Roman"/>
          <w:sz w:val="20"/>
          <w:szCs w:val="20"/>
        </w:rPr>
        <w:t xml:space="preserve"> FRIENDS at note 96.</w:t>
      </w:r>
    </w:p>
  </w:footnote>
  <w:footnote w:id="134">
    <w:p w14:paraId="72905889" w14:textId="27709531" w:rsidR="00765734" w:rsidRDefault="00765734">
      <w:pPr>
        <w:pStyle w:val="FootnoteText"/>
      </w:pPr>
      <w:r w:rsidRPr="00D87274">
        <w:rPr>
          <w:rStyle w:val="FootnoteReference"/>
          <w:rFonts w:ascii="Times New Roman" w:hAnsi="Times New Roman" w:cs="Times New Roman"/>
          <w:sz w:val="20"/>
          <w:szCs w:val="20"/>
        </w:rPr>
        <w:footnoteRef/>
      </w:r>
      <w:r w:rsidRPr="00D87274">
        <w:rPr>
          <w:rFonts w:ascii="Times New Roman" w:hAnsi="Times New Roman" w:cs="Times New Roman"/>
          <w:sz w:val="20"/>
          <w:szCs w:val="20"/>
        </w:rPr>
        <w:t xml:space="preserve"> </w:t>
      </w:r>
      <w:r w:rsidRPr="00D87274">
        <w:rPr>
          <w:rFonts w:ascii="Times New Roman" w:hAnsi="Times New Roman" w:cs="Times New Roman"/>
          <w:i/>
          <w:sz w:val="20"/>
          <w:szCs w:val="20"/>
        </w:rPr>
        <w:t>See</w:t>
      </w:r>
      <w:r w:rsidRPr="00D87274">
        <w:rPr>
          <w:rFonts w:ascii="Times New Roman" w:hAnsi="Times New Roman" w:cs="Times New Roman"/>
          <w:sz w:val="20"/>
          <w:szCs w:val="20"/>
        </w:rPr>
        <w:t xml:space="preserve"> CELP at 1008.</w:t>
      </w:r>
    </w:p>
  </w:footnote>
  <w:footnote w:id="135">
    <w:p w14:paraId="427EA223" w14:textId="4334BEAF" w:rsidR="00765734" w:rsidRPr="00D87274" w:rsidRDefault="00765734">
      <w:pPr>
        <w:pStyle w:val="FootnoteText"/>
        <w:rPr>
          <w:rFonts w:ascii="Times New Roman" w:hAnsi="Times New Roman" w:cs="Times New Roman"/>
          <w:sz w:val="20"/>
          <w:szCs w:val="20"/>
        </w:rPr>
      </w:pPr>
      <w:r w:rsidRPr="00D87274">
        <w:rPr>
          <w:rStyle w:val="FootnoteReference"/>
          <w:rFonts w:ascii="Times New Roman" w:hAnsi="Times New Roman" w:cs="Times New Roman"/>
          <w:sz w:val="20"/>
          <w:szCs w:val="20"/>
        </w:rPr>
        <w:footnoteRef/>
      </w:r>
      <w:r w:rsidRPr="00D87274">
        <w:rPr>
          <w:rFonts w:ascii="Times New Roman" w:hAnsi="Times New Roman" w:cs="Times New Roman"/>
          <w:sz w:val="20"/>
          <w:szCs w:val="20"/>
        </w:rPr>
        <w:t xml:space="preserve"> FRIENDS at 1220.</w:t>
      </w:r>
    </w:p>
  </w:footnote>
  <w:footnote w:id="136">
    <w:p w14:paraId="5C3F934C" w14:textId="63A18191" w:rsidR="00765734" w:rsidRPr="00F4210F" w:rsidRDefault="00765734">
      <w:pPr>
        <w:pStyle w:val="FootnoteText"/>
        <w:rPr>
          <w:rFonts w:ascii="Times New Roman" w:hAnsi="Times New Roman" w:cs="Times New Roman"/>
          <w:sz w:val="20"/>
          <w:szCs w:val="20"/>
        </w:rPr>
      </w:pPr>
      <w:r w:rsidRPr="00F4210F">
        <w:rPr>
          <w:rStyle w:val="FootnoteReference"/>
          <w:rFonts w:ascii="Times New Roman" w:hAnsi="Times New Roman" w:cs="Times New Roman"/>
          <w:sz w:val="20"/>
          <w:szCs w:val="20"/>
        </w:rPr>
        <w:footnoteRef/>
      </w:r>
      <w:r w:rsidRPr="00F4210F">
        <w:rPr>
          <w:rFonts w:ascii="Times New Roman" w:hAnsi="Times New Roman" w:cs="Times New Roman"/>
          <w:sz w:val="20"/>
          <w:szCs w:val="20"/>
        </w:rPr>
        <w:t xml:space="preserve"> </w:t>
      </w:r>
      <w:r w:rsidRPr="00F4210F">
        <w:rPr>
          <w:rFonts w:ascii="Times New Roman" w:hAnsi="Times New Roman" w:cs="Times New Roman"/>
          <w:i/>
          <w:sz w:val="20"/>
          <w:szCs w:val="20"/>
        </w:rPr>
        <w:t>See</w:t>
      </w:r>
      <w:r w:rsidRPr="00F4210F">
        <w:rPr>
          <w:rFonts w:ascii="Times New Roman" w:hAnsi="Times New Roman" w:cs="Times New Roman"/>
          <w:sz w:val="20"/>
          <w:szCs w:val="20"/>
        </w:rPr>
        <w:t xml:space="preserve"> FRIENDS at note 96.</w:t>
      </w:r>
    </w:p>
  </w:footnote>
  <w:footnote w:id="137">
    <w:p w14:paraId="0EAA2506" w14:textId="184DFA73" w:rsidR="00765734" w:rsidRPr="003A6304" w:rsidRDefault="00765734">
      <w:pPr>
        <w:pStyle w:val="FootnoteText"/>
        <w:rPr>
          <w:rFonts w:ascii="Times New Roman" w:hAnsi="Times New Roman" w:cs="Times New Roman"/>
          <w:sz w:val="20"/>
          <w:szCs w:val="20"/>
        </w:rPr>
      </w:pPr>
      <w:r w:rsidRPr="003A6304">
        <w:rPr>
          <w:rStyle w:val="FootnoteReference"/>
          <w:rFonts w:ascii="Times New Roman" w:hAnsi="Times New Roman" w:cs="Times New Roman"/>
          <w:sz w:val="20"/>
          <w:szCs w:val="20"/>
        </w:rPr>
        <w:footnoteRef/>
      </w:r>
      <w:r w:rsidRPr="003A6304">
        <w:rPr>
          <w:rFonts w:ascii="Times New Roman" w:hAnsi="Times New Roman" w:cs="Times New Roman"/>
          <w:sz w:val="20"/>
          <w:szCs w:val="20"/>
        </w:rPr>
        <w:t xml:space="preserve"> </w:t>
      </w:r>
      <w:r w:rsidRPr="003A6304">
        <w:rPr>
          <w:rFonts w:ascii="Times New Roman" w:hAnsi="Times New Roman" w:cs="Times New Roman"/>
          <w:i/>
          <w:sz w:val="20"/>
          <w:szCs w:val="20"/>
        </w:rPr>
        <w:t>See</w:t>
      </w:r>
      <w:r w:rsidRPr="003A6304">
        <w:rPr>
          <w:rFonts w:ascii="Times New Roman" w:hAnsi="Times New Roman" w:cs="Times New Roman"/>
          <w:sz w:val="20"/>
          <w:szCs w:val="20"/>
        </w:rPr>
        <w:t xml:space="preserve"> CELP at note 62.</w:t>
      </w:r>
    </w:p>
  </w:footnote>
  <w:footnote w:id="138">
    <w:p w14:paraId="48537E09" w14:textId="370A88BA" w:rsidR="00765734" w:rsidRPr="00F4210F" w:rsidRDefault="00765734">
      <w:pPr>
        <w:pStyle w:val="FootnoteText"/>
        <w:rPr>
          <w:rFonts w:ascii="Times New Roman" w:hAnsi="Times New Roman" w:cs="Times New Roman"/>
          <w:sz w:val="20"/>
          <w:szCs w:val="20"/>
        </w:rPr>
      </w:pPr>
      <w:r w:rsidRPr="00F4210F">
        <w:rPr>
          <w:rStyle w:val="FootnoteReference"/>
          <w:rFonts w:ascii="Times New Roman" w:hAnsi="Times New Roman" w:cs="Times New Roman"/>
          <w:sz w:val="20"/>
          <w:szCs w:val="20"/>
        </w:rPr>
        <w:footnoteRef/>
      </w:r>
      <w:r w:rsidRPr="00F4210F">
        <w:rPr>
          <w:rFonts w:ascii="Times New Roman" w:hAnsi="Times New Roman" w:cs="Times New Roman"/>
          <w:sz w:val="20"/>
          <w:szCs w:val="20"/>
        </w:rPr>
        <w:t xml:space="preserve"> </w:t>
      </w:r>
      <w:r w:rsidRPr="00F4210F">
        <w:rPr>
          <w:rFonts w:ascii="Times New Roman" w:hAnsi="Times New Roman" w:cs="Times New Roman"/>
          <w:i/>
          <w:sz w:val="20"/>
          <w:szCs w:val="20"/>
        </w:rPr>
        <w:t>See</w:t>
      </w:r>
      <w:r w:rsidRPr="00F4210F">
        <w:rPr>
          <w:rFonts w:ascii="Times New Roman" w:hAnsi="Times New Roman" w:cs="Times New Roman"/>
          <w:sz w:val="20"/>
          <w:szCs w:val="20"/>
        </w:rPr>
        <w:t xml:space="preserve"> CELP at 1008.</w:t>
      </w:r>
    </w:p>
  </w:footnote>
  <w:footnote w:id="139">
    <w:p w14:paraId="47A6BE10" w14:textId="1952CDF8" w:rsidR="00765734" w:rsidRPr="00F4210F" w:rsidRDefault="00765734">
      <w:pPr>
        <w:pStyle w:val="FootnoteText"/>
        <w:rPr>
          <w:rFonts w:ascii="Times New Roman" w:hAnsi="Times New Roman" w:cs="Times New Roman"/>
          <w:sz w:val="20"/>
          <w:szCs w:val="20"/>
        </w:rPr>
      </w:pPr>
      <w:r w:rsidRPr="00F4210F">
        <w:rPr>
          <w:rStyle w:val="FootnoteReference"/>
          <w:rFonts w:ascii="Times New Roman" w:hAnsi="Times New Roman" w:cs="Times New Roman"/>
          <w:sz w:val="20"/>
          <w:szCs w:val="20"/>
        </w:rPr>
        <w:footnoteRef/>
      </w:r>
      <w:r w:rsidRPr="00F4210F">
        <w:rPr>
          <w:rFonts w:ascii="Times New Roman" w:hAnsi="Times New Roman" w:cs="Times New Roman"/>
          <w:sz w:val="20"/>
          <w:szCs w:val="20"/>
        </w:rPr>
        <w:t xml:space="preserve"> </w:t>
      </w:r>
      <w:r w:rsidRPr="00F4210F">
        <w:rPr>
          <w:rFonts w:ascii="Times New Roman" w:hAnsi="Times New Roman" w:cs="Times New Roman"/>
          <w:i/>
          <w:sz w:val="20"/>
          <w:szCs w:val="20"/>
        </w:rPr>
        <w:t>See generally</w:t>
      </w:r>
      <w:r w:rsidRPr="00F4210F">
        <w:rPr>
          <w:rFonts w:ascii="Times New Roman" w:hAnsi="Times New Roman" w:cs="Times New Roman"/>
          <w:sz w:val="20"/>
          <w:szCs w:val="20"/>
        </w:rPr>
        <w:t xml:space="preserve"> FRIENDS at 1220.</w:t>
      </w:r>
    </w:p>
  </w:footnote>
  <w:footnote w:id="140">
    <w:p w14:paraId="2AE1B053" w14:textId="3AD25E6F" w:rsidR="00765734" w:rsidRPr="00F4210F" w:rsidRDefault="00765734">
      <w:pPr>
        <w:pStyle w:val="FootnoteText"/>
        <w:rPr>
          <w:rFonts w:ascii="Times New Roman" w:hAnsi="Times New Roman" w:cs="Times New Roman"/>
          <w:sz w:val="20"/>
          <w:szCs w:val="20"/>
        </w:rPr>
      </w:pPr>
      <w:r w:rsidRPr="00F4210F">
        <w:rPr>
          <w:rStyle w:val="FootnoteReference"/>
          <w:rFonts w:ascii="Times New Roman" w:hAnsi="Times New Roman" w:cs="Times New Roman"/>
          <w:sz w:val="20"/>
          <w:szCs w:val="20"/>
        </w:rPr>
        <w:footnoteRef/>
      </w:r>
      <w:r w:rsidRPr="00F4210F">
        <w:rPr>
          <w:rFonts w:ascii="Times New Roman" w:hAnsi="Times New Roman" w:cs="Times New Roman"/>
          <w:sz w:val="20"/>
          <w:szCs w:val="20"/>
        </w:rPr>
        <w:t xml:space="preserve"> FRIENDS at 1220.</w:t>
      </w:r>
    </w:p>
  </w:footnote>
  <w:footnote w:id="141">
    <w:p w14:paraId="1B2EE70D" w14:textId="0100AA7C" w:rsidR="00765734" w:rsidRPr="00DE7DF2" w:rsidRDefault="00765734">
      <w:pPr>
        <w:pStyle w:val="FootnoteText"/>
        <w:rPr>
          <w:rFonts w:ascii="Times New Roman" w:hAnsi="Times New Roman" w:cs="Times New Roman"/>
          <w:sz w:val="20"/>
          <w:szCs w:val="20"/>
        </w:rPr>
      </w:pPr>
      <w:r w:rsidRPr="00DE7DF2">
        <w:rPr>
          <w:rStyle w:val="FootnoteReference"/>
          <w:rFonts w:ascii="Times New Roman" w:hAnsi="Times New Roman" w:cs="Times New Roman"/>
          <w:sz w:val="20"/>
          <w:szCs w:val="20"/>
        </w:rPr>
        <w:footnoteRef/>
      </w:r>
      <w:r w:rsidRPr="00DE7DF2">
        <w:rPr>
          <w:rFonts w:ascii="Times New Roman" w:hAnsi="Times New Roman" w:cs="Times New Roman"/>
          <w:sz w:val="20"/>
          <w:szCs w:val="20"/>
        </w:rPr>
        <w:t xml:space="preserve"> </w:t>
      </w:r>
      <w:r w:rsidRPr="00DE7DF2">
        <w:rPr>
          <w:rFonts w:ascii="Times New Roman" w:hAnsi="Times New Roman" w:cs="Times New Roman"/>
          <w:i/>
          <w:sz w:val="20"/>
          <w:szCs w:val="20"/>
        </w:rPr>
        <w:t>Id</w:t>
      </w:r>
      <w:r w:rsidRPr="00DE7DF2">
        <w:rPr>
          <w:rFonts w:ascii="Times New Roman" w:hAnsi="Times New Roman" w:cs="Times New Roman"/>
          <w:sz w:val="20"/>
          <w:szCs w:val="20"/>
        </w:rPr>
        <w:t>.</w:t>
      </w:r>
    </w:p>
  </w:footnote>
  <w:footnote w:id="142">
    <w:p w14:paraId="0CCF614F" w14:textId="6FE4EF00" w:rsidR="00765734" w:rsidRPr="00DE7DF2" w:rsidRDefault="00765734">
      <w:pPr>
        <w:pStyle w:val="FootnoteText"/>
        <w:rPr>
          <w:rFonts w:ascii="Times New Roman" w:hAnsi="Times New Roman" w:cs="Times New Roman"/>
          <w:sz w:val="20"/>
          <w:szCs w:val="20"/>
        </w:rPr>
      </w:pPr>
      <w:r w:rsidRPr="00DE7DF2">
        <w:rPr>
          <w:rStyle w:val="FootnoteReference"/>
          <w:rFonts w:ascii="Times New Roman" w:hAnsi="Times New Roman" w:cs="Times New Roman"/>
          <w:sz w:val="20"/>
          <w:szCs w:val="20"/>
        </w:rPr>
        <w:footnoteRef/>
      </w:r>
      <w:r w:rsidRPr="00DE7DF2">
        <w:rPr>
          <w:rFonts w:ascii="Times New Roman" w:hAnsi="Times New Roman" w:cs="Times New Roman"/>
          <w:sz w:val="20"/>
          <w:szCs w:val="20"/>
        </w:rPr>
        <w:t xml:space="preserve"> </w:t>
      </w:r>
      <w:r w:rsidRPr="00DE7DF2">
        <w:rPr>
          <w:rFonts w:ascii="Times New Roman" w:hAnsi="Times New Roman" w:cs="Times New Roman"/>
          <w:i/>
          <w:sz w:val="20"/>
          <w:szCs w:val="20"/>
        </w:rPr>
        <w:t>See generally</w:t>
      </w:r>
      <w:r w:rsidRPr="00DE7DF2">
        <w:rPr>
          <w:rFonts w:ascii="Times New Roman" w:hAnsi="Times New Roman" w:cs="Times New Roman"/>
          <w:sz w:val="20"/>
          <w:szCs w:val="20"/>
        </w:rPr>
        <w:t xml:space="preserve"> CELP at 1008.</w:t>
      </w:r>
    </w:p>
  </w:footnote>
  <w:footnote w:id="143">
    <w:p w14:paraId="67CBEF20" w14:textId="36AD696F" w:rsidR="00765734" w:rsidRPr="00DE7DF2" w:rsidRDefault="00765734">
      <w:pPr>
        <w:pStyle w:val="FootnoteText"/>
        <w:rPr>
          <w:rFonts w:ascii="Times New Roman" w:hAnsi="Times New Roman" w:cs="Times New Roman"/>
          <w:sz w:val="20"/>
          <w:szCs w:val="20"/>
        </w:rPr>
      </w:pPr>
      <w:r w:rsidRPr="00DE7DF2">
        <w:rPr>
          <w:rStyle w:val="FootnoteReference"/>
          <w:rFonts w:ascii="Times New Roman" w:hAnsi="Times New Roman" w:cs="Times New Roman"/>
          <w:sz w:val="20"/>
          <w:szCs w:val="20"/>
        </w:rPr>
        <w:footnoteRef/>
      </w:r>
      <w:r w:rsidRPr="00DE7DF2">
        <w:rPr>
          <w:rFonts w:ascii="Times New Roman" w:hAnsi="Times New Roman" w:cs="Times New Roman"/>
          <w:sz w:val="20"/>
          <w:szCs w:val="20"/>
        </w:rPr>
        <w:t xml:space="preserve"> CELP at 1008.</w:t>
      </w:r>
    </w:p>
  </w:footnote>
  <w:footnote w:id="144">
    <w:p w14:paraId="0396BBD6" w14:textId="0F0E214C" w:rsidR="00765734" w:rsidRPr="00DE7DF2" w:rsidRDefault="00765734">
      <w:pPr>
        <w:pStyle w:val="FootnoteText"/>
        <w:rPr>
          <w:rFonts w:ascii="Times New Roman" w:hAnsi="Times New Roman" w:cs="Times New Roman"/>
          <w:sz w:val="20"/>
          <w:szCs w:val="20"/>
        </w:rPr>
      </w:pPr>
      <w:r w:rsidRPr="00DE7DF2">
        <w:rPr>
          <w:rStyle w:val="FootnoteReference"/>
          <w:rFonts w:ascii="Times New Roman" w:hAnsi="Times New Roman" w:cs="Times New Roman"/>
          <w:sz w:val="20"/>
          <w:szCs w:val="20"/>
        </w:rPr>
        <w:footnoteRef/>
      </w:r>
      <w:r w:rsidRPr="00DE7DF2">
        <w:rPr>
          <w:rFonts w:ascii="Times New Roman" w:hAnsi="Times New Roman" w:cs="Times New Roman"/>
          <w:sz w:val="20"/>
          <w:szCs w:val="20"/>
        </w:rPr>
        <w:t xml:space="preserve"> </w:t>
      </w:r>
      <w:r w:rsidRPr="00DE7DF2">
        <w:rPr>
          <w:rFonts w:ascii="Times New Roman" w:hAnsi="Times New Roman" w:cs="Times New Roman"/>
          <w:i/>
          <w:sz w:val="20"/>
          <w:szCs w:val="20"/>
        </w:rPr>
        <w:t>Id</w:t>
      </w:r>
      <w:r w:rsidRPr="00DE7DF2">
        <w:rPr>
          <w:rFonts w:ascii="Times New Roman" w:hAnsi="Times New Roman" w:cs="Times New Roman"/>
          <w:sz w:val="20"/>
          <w:szCs w:val="20"/>
        </w:rPr>
        <w:t>.</w:t>
      </w:r>
    </w:p>
  </w:footnote>
  <w:footnote w:id="145">
    <w:p w14:paraId="1333031D" w14:textId="2FBAB91E" w:rsidR="00765734" w:rsidRPr="00DE7DF2" w:rsidRDefault="00765734">
      <w:pPr>
        <w:pStyle w:val="FootnoteText"/>
        <w:rPr>
          <w:rFonts w:ascii="Times New Roman" w:hAnsi="Times New Roman" w:cs="Times New Roman"/>
          <w:sz w:val="20"/>
          <w:szCs w:val="20"/>
        </w:rPr>
      </w:pPr>
      <w:r w:rsidRPr="00DE7DF2">
        <w:rPr>
          <w:rStyle w:val="FootnoteReference"/>
          <w:rFonts w:ascii="Times New Roman" w:hAnsi="Times New Roman" w:cs="Times New Roman"/>
          <w:sz w:val="20"/>
          <w:szCs w:val="20"/>
        </w:rPr>
        <w:footnoteRef/>
      </w:r>
      <w:r w:rsidRPr="00DE7DF2">
        <w:rPr>
          <w:rFonts w:ascii="Times New Roman" w:hAnsi="Times New Roman" w:cs="Times New Roman"/>
          <w:sz w:val="20"/>
          <w:szCs w:val="20"/>
        </w:rPr>
        <w:t xml:space="preserve"> </w:t>
      </w:r>
      <w:r w:rsidRPr="00DE7DF2">
        <w:rPr>
          <w:rFonts w:ascii="Times New Roman" w:hAnsi="Times New Roman" w:cs="Times New Roman"/>
          <w:i/>
          <w:sz w:val="20"/>
          <w:szCs w:val="20"/>
        </w:rPr>
        <w:t>Id</w:t>
      </w:r>
      <w:r w:rsidRPr="00DE7DF2">
        <w:rPr>
          <w:rFonts w:ascii="Times New Roman" w:hAnsi="Times New Roman" w:cs="Times New Roman"/>
          <w:sz w:val="20"/>
          <w:szCs w:val="20"/>
        </w:rPr>
        <w:t>.</w:t>
      </w:r>
    </w:p>
  </w:footnote>
  <w:footnote w:id="146">
    <w:p w14:paraId="290740B2" w14:textId="77777777" w:rsidR="00765734" w:rsidRPr="00DE7DF2" w:rsidRDefault="00765734" w:rsidP="00F220F5">
      <w:pPr>
        <w:pStyle w:val="FootnoteText"/>
        <w:rPr>
          <w:rFonts w:ascii="Times New Roman" w:hAnsi="Times New Roman" w:cs="Times New Roman"/>
          <w:sz w:val="20"/>
          <w:szCs w:val="20"/>
        </w:rPr>
      </w:pPr>
      <w:r w:rsidRPr="00DE7DF2">
        <w:rPr>
          <w:rStyle w:val="FootnoteReference"/>
          <w:rFonts w:ascii="Times New Roman" w:hAnsi="Times New Roman" w:cs="Times New Roman"/>
          <w:sz w:val="20"/>
          <w:szCs w:val="20"/>
        </w:rPr>
        <w:footnoteRef/>
      </w:r>
      <w:r w:rsidRPr="00DE7DF2">
        <w:rPr>
          <w:rFonts w:ascii="Times New Roman" w:hAnsi="Times New Roman" w:cs="Times New Roman"/>
          <w:sz w:val="20"/>
          <w:szCs w:val="20"/>
        </w:rPr>
        <w:t xml:space="preserve"> </w:t>
      </w:r>
      <w:r w:rsidRPr="00DE7DF2">
        <w:rPr>
          <w:rFonts w:ascii="Times New Roman" w:hAnsi="Times New Roman" w:cs="Times New Roman"/>
          <w:i/>
          <w:sz w:val="20"/>
          <w:szCs w:val="20"/>
        </w:rPr>
        <w:t>Id</w:t>
      </w:r>
      <w:r w:rsidRPr="00DE7DF2">
        <w:rPr>
          <w:rFonts w:ascii="Times New Roman" w:hAnsi="Times New Roman" w:cs="Times New Roman"/>
          <w:sz w:val="20"/>
          <w:szCs w:val="20"/>
        </w:rPr>
        <w:t>.</w:t>
      </w:r>
    </w:p>
  </w:footnote>
  <w:footnote w:id="147">
    <w:p w14:paraId="14383055" w14:textId="73B03795" w:rsidR="00765734" w:rsidRPr="00DE7DF2" w:rsidRDefault="00765734">
      <w:pPr>
        <w:pStyle w:val="FootnoteText"/>
        <w:rPr>
          <w:rFonts w:ascii="Times New Roman" w:hAnsi="Times New Roman" w:cs="Times New Roman"/>
          <w:sz w:val="20"/>
          <w:szCs w:val="20"/>
        </w:rPr>
      </w:pPr>
      <w:r w:rsidRPr="00DE7DF2">
        <w:rPr>
          <w:rStyle w:val="FootnoteReference"/>
          <w:rFonts w:ascii="Times New Roman" w:hAnsi="Times New Roman" w:cs="Times New Roman"/>
          <w:sz w:val="20"/>
          <w:szCs w:val="20"/>
        </w:rPr>
        <w:footnoteRef/>
      </w:r>
      <w:r w:rsidRPr="00DE7DF2">
        <w:rPr>
          <w:rFonts w:ascii="Times New Roman" w:hAnsi="Times New Roman" w:cs="Times New Roman"/>
          <w:sz w:val="20"/>
          <w:szCs w:val="20"/>
        </w:rPr>
        <w:t xml:space="preserve"> </w:t>
      </w:r>
      <w:r w:rsidRPr="00DE7DF2">
        <w:rPr>
          <w:rFonts w:ascii="Times New Roman" w:hAnsi="Times New Roman" w:cs="Times New Roman"/>
          <w:i/>
          <w:sz w:val="20"/>
          <w:szCs w:val="20"/>
        </w:rPr>
        <w:t>See</w:t>
      </w:r>
      <w:r w:rsidRPr="00DE7DF2">
        <w:rPr>
          <w:rFonts w:ascii="Times New Roman" w:hAnsi="Times New Roman" w:cs="Times New Roman"/>
          <w:sz w:val="20"/>
          <w:szCs w:val="20"/>
        </w:rPr>
        <w:t xml:space="preserve"> CELP at note 63.</w:t>
      </w:r>
    </w:p>
  </w:footnote>
  <w:footnote w:id="148">
    <w:p w14:paraId="13DFDCC6" w14:textId="2D6B7578" w:rsidR="00765734" w:rsidRPr="00DE7DF2" w:rsidRDefault="00765734" w:rsidP="00642086">
      <w:pPr>
        <w:pStyle w:val="FootnoteText"/>
        <w:rPr>
          <w:rFonts w:ascii="Times New Roman" w:hAnsi="Times New Roman" w:cs="Times New Roman"/>
          <w:sz w:val="20"/>
          <w:szCs w:val="20"/>
        </w:rPr>
      </w:pPr>
      <w:r w:rsidRPr="00DE7DF2">
        <w:rPr>
          <w:rStyle w:val="FootnoteReference"/>
          <w:rFonts w:ascii="Times New Roman" w:hAnsi="Times New Roman" w:cs="Times New Roman"/>
          <w:sz w:val="20"/>
          <w:szCs w:val="20"/>
        </w:rPr>
        <w:footnoteRef/>
      </w:r>
      <w:r w:rsidRPr="00DE7DF2">
        <w:rPr>
          <w:rFonts w:ascii="Times New Roman" w:hAnsi="Times New Roman" w:cs="Times New Roman"/>
          <w:sz w:val="20"/>
          <w:szCs w:val="20"/>
        </w:rPr>
        <w:t xml:space="preserve"> </w:t>
      </w:r>
      <w:r w:rsidRPr="00DE7DF2">
        <w:rPr>
          <w:rFonts w:ascii="Times New Roman" w:hAnsi="Times New Roman" w:cs="Times New Roman"/>
          <w:i/>
          <w:sz w:val="20"/>
          <w:szCs w:val="20"/>
        </w:rPr>
        <w:t>See generally</w:t>
      </w:r>
      <w:r w:rsidRPr="00DE7DF2">
        <w:rPr>
          <w:rFonts w:ascii="Times New Roman" w:hAnsi="Times New Roman" w:cs="Times New Roman"/>
          <w:sz w:val="20"/>
          <w:szCs w:val="20"/>
        </w:rPr>
        <w:t>, EA at note 10.</w:t>
      </w:r>
    </w:p>
  </w:footnote>
  <w:footnote w:id="149">
    <w:p w14:paraId="5047B75C" w14:textId="77777777" w:rsidR="00765734" w:rsidRPr="00DE7DF2" w:rsidRDefault="00765734" w:rsidP="00642086">
      <w:pPr>
        <w:pStyle w:val="FootnoteText"/>
        <w:rPr>
          <w:rFonts w:ascii="Times New Roman" w:hAnsi="Times New Roman" w:cs="Times New Roman"/>
          <w:sz w:val="20"/>
          <w:szCs w:val="20"/>
        </w:rPr>
      </w:pPr>
      <w:r w:rsidRPr="00DE7DF2">
        <w:rPr>
          <w:rStyle w:val="FootnoteReference"/>
          <w:rFonts w:ascii="Times New Roman" w:hAnsi="Times New Roman" w:cs="Times New Roman"/>
          <w:sz w:val="20"/>
          <w:szCs w:val="20"/>
        </w:rPr>
        <w:footnoteRef/>
      </w:r>
      <w:r w:rsidRPr="00DE7DF2">
        <w:rPr>
          <w:rFonts w:ascii="Times New Roman" w:hAnsi="Times New Roman" w:cs="Times New Roman"/>
          <w:sz w:val="20"/>
          <w:szCs w:val="20"/>
        </w:rPr>
        <w:t xml:space="preserve"> </w:t>
      </w:r>
      <w:r w:rsidRPr="00DE7DF2">
        <w:rPr>
          <w:rFonts w:ascii="Times New Roman" w:hAnsi="Times New Roman" w:cs="Times New Roman"/>
          <w:i/>
          <w:sz w:val="20"/>
          <w:szCs w:val="20"/>
        </w:rPr>
        <w:t>See</w:t>
      </w:r>
      <w:r w:rsidRPr="00DE7DF2">
        <w:rPr>
          <w:rFonts w:ascii="Times New Roman" w:hAnsi="Times New Roman" w:cs="Times New Roman"/>
          <w:sz w:val="20"/>
          <w:szCs w:val="20"/>
        </w:rPr>
        <w:t xml:space="preserve"> EA at note 13, p. 62.</w:t>
      </w:r>
    </w:p>
  </w:footnote>
  <w:footnote w:id="150">
    <w:p w14:paraId="6A522B72" w14:textId="77777777" w:rsidR="00765734" w:rsidRDefault="00765734" w:rsidP="00642086">
      <w:pPr>
        <w:pStyle w:val="FootnoteText"/>
        <w:rPr>
          <w:rFonts w:ascii="Times New Roman" w:hAnsi="Times New Roman"/>
          <w:sz w:val="20"/>
          <w:szCs w:val="20"/>
        </w:rPr>
      </w:pPr>
      <w:r w:rsidRPr="00DE7DF2">
        <w:rPr>
          <w:rStyle w:val="FootnoteReference"/>
          <w:rFonts w:ascii="Times New Roman" w:hAnsi="Times New Roman" w:cs="Times New Roman"/>
          <w:sz w:val="20"/>
          <w:szCs w:val="20"/>
        </w:rPr>
        <w:footnoteRef/>
      </w:r>
      <w:r w:rsidRPr="00DE7DF2">
        <w:rPr>
          <w:rFonts w:ascii="Times New Roman" w:hAnsi="Times New Roman" w:cs="Times New Roman"/>
          <w:sz w:val="20"/>
          <w:szCs w:val="20"/>
        </w:rPr>
        <w:t xml:space="preserve"> </w:t>
      </w:r>
      <w:r w:rsidRPr="00DE7DF2">
        <w:rPr>
          <w:rFonts w:ascii="Times New Roman" w:hAnsi="Times New Roman" w:cs="Times New Roman"/>
          <w:i/>
          <w:sz w:val="20"/>
          <w:szCs w:val="20"/>
        </w:rPr>
        <w:t>Id</w:t>
      </w:r>
      <w:r w:rsidRPr="00DE7DF2">
        <w:rPr>
          <w:rFonts w:ascii="Times New Roman" w:hAnsi="Times New Roman" w:cs="Times New Roman"/>
          <w:sz w:val="20"/>
          <w:szCs w:val="20"/>
        </w:rPr>
        <w:t>. at 110.</w:t>
      </w:r>
    </w:p>
  </w:footnote>
  <w:footnote w:id="151">
    <w:p w14:paraId="7F34C9C2" w14:textId="58D29B68" w:rsidR="00765734" w:rsidRDefault="00765734" w:rsidP="00B21DA1">
      <w:pPr>
        <w:pStyle w:val="FootnoteText"/>
        <w:rPr>
          <w:rFonts w:ascii="Times New Roman" w:hAnsi="Times New Roman"/>
          <w:sz w:val="20"/>
          <w:szCs w:val="20"/>
        </w:rPr>
      </w:pPr>
      <w:r>
        <w:rPr>
          <w:rStyle w:val="FootnoteReference"/>
          <w:rFonts w:ascii="Times New Roman" w:hAnsi="Times New Roman"/>
          <w:sz w:val="20"/>
          <w:szCs w:val="20"/>
        </w:rPr>
        <w:footnoteRef/>
      </w:r>
      <w:r>
        <w:rPr>
          <w:rFonts w:ascii="Times New Roman" w:hAnsi="Times New Roman"/>
          <w:sz w:val="20"/>
          <w:szCs w:val="20"/>
        </w:rPr>
        <w:t xml:space="preserve"> </w:t>
      </w:r>
      <w:r>
        <w:rPr>
          <w:rFonts w:ascii="Times New Roman" w:hAnsi="Times New Roman"/>
          <w:i/>
          <w:sz w:val="20"/>
          <w:szCs w:val="20"/>
        </w:rPr>
        <w:t>See</w:t>
      </w:r>
      <w:r>
        <w:rPr>
          <w:rFonts w:ascii="Times New Roman" w:hAnsi="Times New Roman"/>
          <w:sz w:val="20"/>
          <w:szCs w:val="20"/>
        </w:rPr>
        <w:t xml:space="preserve"> FRIENDS at note 96.</w:t>
      </w:r>
    </w:p>
  </w:footnote>
  <w:footnote w:id="152">
    <w:p w14:paraId="015FF8F3" w14:textId="0CC69BAE" w:rsidR="00765734" w:rsidRPr="00B21DA1" w:rsidRDefault="00765734">
      <w:pPr>
        <w:pStyle w:val="FootnoteText"/>
        <w:rPr>
          <w:rFonts w:ascii="Times New Roman" w:hAnsi="Times New Roman" w:cs="Times New Roman"/>
          <w:sz w:val="20"/>
          <w:szCs w:val="20"/>
        </w:rPr>
      </w:pPr>
      <w:r w:rsidRPr="00B21DA1">
        <w:rPr>
          <w:rStyle w:val="FootnoteReference"/>
          <w:rFonts w:ascii="Times New Roman" w:hAnsi="Times New Roman" w:cs="Times New Roman"/>
          <w:sz w:val="20"/>
          <w:szCs w:val="20"/>
        </w:rPr>
        <w:footnoteRef/>
      </w:r>
      <w:r w:rsidRPr="00B21DA1">
        <w:rPr>
          <w:rFonts w:ascii="Times New Roman" w:hAnsi="Times New Roman" w:cs="Times New Roman"/>
          <w:sz w:val="20"/>
          <w:szCs w:val="20"/>
        </w:rPr>
        <w:t xml:space="preserve"> </w:t>
      </w:r>
      <w:r w:rsidRPr="00B21DA1">
        <w:rPr>
          <w:rFonts w:ascii="Times New Roman" w:hAnsi="Times New Roman" w:cs="Times New Roman"/>
          <w:i/>
          <w:sz w:val="20"/>
          <w:szCs w:val="20"/>
        </w:rPr>
        <w:t>See generally</w:t>
      </w:r>
      <w:r w:rsidRPr="00B21DA1">
        <w:rPr>
          <w:rFonts w:ascii="Times New Roman" w:hAnsi="Times New Roman" w:cs="Times New Roman"/>
          <w:sz w:val="20"/>
          <w:szCs w:val="20"/>
        </w:rPr>
        <w:t xml:space="preserve"> FRIENDS at 1220.</w:t>
      </w:r>
    </w:p>
  </w:footnote>
  <w:footnote w:id="153">
    <w:p w14:paraId="0FB71F06" w14:textId="13453074" w:rsidR="00765734" w:rsidRPr="00B21DA1" w:rsidRDefault="00765734">
      <w:pPr>
        <w:pStyle w:val="FootnoteText"/>
        <w:rPr>
          <w:rFonts w:ascii="Times New Roman" w:hAnsi="Times New Roman" w:cs="Times New Roman"/>
          <w:sz w:val="20"/>
          <w:szCs w:val="20"/>
        </w:rPr>
      </w:pPr>
      <w:r w:rsidRPr="00B21DA1">
        <w:rPr>
          <w:rStyle w:val="FootnoteReference"/>
          <w:rFonts w:ascii="Times New Roman" w:hAnsi="Times New Roman" w:cs="Times New Roman"/>
          <w:sz w:val="20"/>
          <w:szCs w:val="20"/>
        </w:rPr>
        <w:footnoteRef/>
      </w:r>
      <w:r w:rsidRPr="00B21DA1">
        <w:rPr>
          <w:rFonts w:ascii="Times New Roman" w:hAnsi="Times New Roman" w:cs="Times New Roman"/>
          <w:sz w:val="20"/>
          <w:szCs w:val="20"/>
        </w:rPr>
        <w:t xml:space="preserve"> </w:t>
      </w:r>
      <w:r w:rsidRPr="00B21DA1">
        <w:rPr>
          <w:rFonts w:ascii="Times New Roman" w:hAnsi="Times New Roman" w:cs="Times New Roman"/>
          <w:i/>
          <w:sz w:val="20"/>
          <w:szCs w:val="20"/>
        </w:rPr>
        <w:t>Id</w:t>
      </w:r>
      <w:r w:rsidRPr="00B21DA1">
        <w:rPr>
          <w:rFonts w:ascii="Times New Roman" w:hAnsi="Times New Roman" w:cs="Times New Roman"/>
          <w:sz w:val="20"/>
          <w:szCs w:val="20"/>
        </w:rPr>
        <w:t>.</w:t>
      </w:r>
    </w:p>
  </w:footnote>
  <w:footnote w:id="154">
    <w:p w14:paraId="622346B9" w14:textId="77777777" w:rsidR="00765734" w:rsidRDefault="00765734" w:rsidP="00EE32A2">
      <w:pPr>
        <w:pStyle w:val="FootnoteText"/>
        <w:rPr>
          <w:rFonts w:ascii="Times New Roman" w:hAnsi="Times New Roman"/>
          <w:sz w:val="20"/>
          <w:szCs w:val="20"/>
        </w:rPr>
      </w:pPr>
      <w:r>
        <w:rPr>
          <w:rStyle w:val="FootnoteReference"/>
          <w:rFonts w:ascii="Times New Roman" w:hAnsi="Times New Roman"/>
          <w:sz w:val="20"/>
          <w:szCs w:val="20"/>
        </w:rPr>
        <w:footnoteRef/>
      </w:r>
      <w:r>
        <w:rPr>
          <w:rFonts w:ascii="Times New Roman" w:hAnsi="Times New Roman"/>
          <w:sz w:val="20"/>
          <w:szCs w:val="20"/>
        </w:rPr>
        <w:t xml:space="preserve"> </w:t>
      </w:r>
      <w:r>
        <w:rPr>
          <w:rFonts w:ascii="Times New Roman" w:hAnsi="Times New Roman"/>
          <w:i/>
          <w:sz w:val="20"/>
          <w:szCs w:val="20"/>
        </w:rPr>
        <w:t>See</w:t>
      </w:r>
      <w:r>
        <w:rPr>
          <w:rFonts w:ascii="Times New Roman" w:hAnsi="Times New Roman"/>
          <w:sz w:val="20"/>
          <w:szCs w:val="20"/>
        </w:rPr>
        <w:t xml:space="preserve"> FRIENDS, 875 F.Supp.2d at 1220.</w:t>
      </w:r>
    </w:p>
  </w:footnote>
  <w:footnote w:id="155">
    <w:p w14:paraId="7A4721AC" w14:textId="77777777" w:rsidR="00765734" w:rsidRDefault="00765734" w:rsidP="00365D0C">
      <w:pPr>
        <w:pStyle w:val="FootnoteText"/>
        <w:rPr>
          <w:rFonts w:ascii="Times New Roman" w:hAnsi="Times New Roman"/>
          <w:sz w:val="20"/>
          <w:szCs w:val="20"/>
        </w:rPr>
      </w:pPr>
      <w:r>
        <w:rPr>
          <w:rStyle w:val="FootnoteReference"/>
          <w:rFonts w:ascii="Times New Roman" w:hAnsi="Times New Roman"/>
          <w:sz w:val="20"/>
          <w:szCs w:val="20"/>
        </w:rPr>
        <w:footnoteRef/>
      </w:r>
      <w:r>
        <w:rPr>
          <w:rFonts w:ascii="Times New Roman" w:hAnsi="Times New Roman"/>
          <w:sz w:val="20"/>
          <w:szCs w:val="20"/>
        </w:rPr>
        <w:t xml:space="preserve"> </w:t>
      </w:r>
      <w:r>
        <w:rPr>
          <w:rFonts w:ascii="Times New Roman" w:hAnsi="Times New Roman"/>
          <w:i/>
          <w:sz w:val="20"/>
          <w:szCs w:val="20"/>
        </w:rPr>
        <w:t>See</w:t>
      </w:r>
      <w:r>
        <w:rPr>
          <w:rFonts w:ascii="Times New Roman" w:hAnsi="Times New Roman"/>
          <w:sz w:val="20"/>
          <w:szCs w:val="20"/>
        </w:rPr>
        <w:t xml:space="preserve"> EA note 13 at p.62.</w:t>
      </w:r>
    </w:p>
  </w:footnote>
  <w:footnote w:id="156">
    <w:p w14:paraId="53E0B9CB" w14:textId="77777777" w:rsidR="00765734" w:rsidRDefault="00765734" w:rsidP="00EE32A2">
      <w:pPr>
        <w:pStyle w:val="FootnoteText"/>
        <w:rPr>
          <w:rFonts w:ascii="Times New Roman" w:hAnsi="Times New Roman"/>
          <w:sz w:val="20"/>
          <w:szCs w:val="20"/>
        </w:rPr>
      </w:pPr>
      <w:r>
        <w:rPr>
          <w:rStyle w:val="FootnoteReference"/>
          <w:rFonts w:ascii="Times New Roman" w:hAnsi="Times New Roman"/>
          <w:sz w:val="20"/>
          <w:szCs w:val="20"/>
        </w:rPr>
        <w:footnoteRef/>
      </w:r>
      <w:r>
        <w:rPr>
          <w:rFonts w:ascii="Times New Roman" w:hAnsi="Times New Roman"/>
          <w:sz w:val="20"/>
          <w:szCs w:val="20"/>
        </w:rPr>
        <w:t xml:space="preserve"> </w:t>
      </w:r>
      <w:r>
        <w:rPr>
          <w:rFonts w:ascii="Times New Roman" w:hAnsi="Times New Roman"/>
          <w:i/>
          <w:sz w:val="20"/>
          <w:szCs w:val="20"/>
        </w:rPr>
        <w:t>Id</w:t>
      </w:r>
      <w:r>
        <w:rPr>
          <w:rFonts w:ascii="Times New Roman" w:hAnsi="Times New Roman"/>
          <w:sz w:val="20"/>
          <w:szCs w:val="20"/>
        </w:rPr>
        <w:t>.</w:t>
      </w:r>
    </w:p>
  </w:footnote>
  <w:footnote w:id="157">
    <w:p w14:paraId="6F448945" w14:textId="77777777" w:rsidR="00765734" w:rsidRDefault="00765734" w:rsidP="00EE32A2">
      <w:pPr>
        <w:pStyle w:val="FootnoteText"/>
        <w:rPr>
          <w:rFonts w:ascii="Times New Roman" w:hAnsi="Times New Roman"/>
          <w:sz w:val="20"/>
          <w:szCs w:val="20"/>
        </w:rPr>
      </w:pPr>
      <w:r>
        <w:rPr>
          <w:rStyle w:val="FootnoteReference"/>
          <w:rFonts w:ascii="Times New Roman" w:hAnsi="Times New Roman"/>
          <w:sz w:val="20"/>
          <w:szCs w:val="20"/>
        </w:rPr>
        <w:footnoteRef/>
      </w:r>
      <w:r>
        <w:rPr>
          <w:rFonts w:ascii="Times New Roman" w:hAnsi="Times New Roman"/>
          <w:sz w:val="20"/>
          <w:szCs w:val="20"/>
        </w:rPr>
        <w:t xml:space="preserve"> </w:t>
      </w:r>
      <w:r>
        <w:rPr>
          <w:rFonts w:ascii="Times New Roman" w:hAnsi="Times New Roman"/>
          <w:i/>
          <w:sz w:val="20"/>
          <w:szCs w:val="20"/>
        </w:rPr>
        <w:t>Id</w:t>
      </w:r>
      <w:r>
        <w:rPr>
          <w:rFonts w:ascii="Times New Roman" w:hAnsi="Times New Roman"/>
          <w:sz w:val="20"/>
          <w:szCs w:val="20"/>
        </w:rPr>
        <w:t>.</w:t>
      </w:r>
    </w:p>
  </w:footnote>
  <w:footnote w:id="158">
    <w:p w14:paraId="335304D1" w14:textId="77777777" w:rsidR="00765734" w:rsidRDefault="00765734" w:rsidP="00EE32A2">
      <w:pPr>
        <w:pStyle w:val="FootnoteText"/>
        <w:rPr>
          <w:rFonts w:ascii="Times New Roman" w:hAnsi="Times New Roman"/>
          <w:sz w:val="20"/>
          <w:szCs w:val="20"/>
        </w:rPr>
      </w:pPr>
      <w:r>
        <w:rPr>
          <w:rStyle w:val="FootnoteReference"/>
          <w:rFonts w:ascii="Times New Roman" w:hAnsi="Times New Roman"/>
          <w:sz w:val="20"/>
          <w:szCs w:val="20"/>
        </w:rPr>
        <w:footnoteRef/>
      </w:r>
      <w:r>
        <w:rPr>
          <w:rFonts w:ascii="Times New Roman" w:hAnsi="Times New Roman"/>
          <w:sz w:val="20"/>
          <w:szCs w:val="20"/>
        </w:rPr>
        <w:t xml:space="preserve"> </w:t>
      </w:r>
      <w:r>
        <w:rPr>
          <w:rFonts w:ascii="Times New Roman" w:hAnsi="Times New Roman"/>
          <w:i/>
          <w:sz w:val="20"/>
          <w:szCs w:val="20"/>
        </w:rPr>
        <w:t>Id</w:t>
      </w:r>
      <w:r>
        <w:rPr>
          <w:rFonts w:ascii="Times New Roman" w:hAnsi="Times New Roman"/>
          <w:sz w:val="20"/>
          <w:szCs w:val="20"/>
        </w:rPr>
        <w:t>.</w:t>
      </w:r>
    </w:p>
  </w:footnote>
  <w:footnote w:id="159">
    <w:p w14:paraId="12EC9D5F" w14:textId="25BA54C5" w:rsidR="00765734" w:rsidRDefault="00765734" w:rsidP="00EE32A2">
      <w:pPr>
        <w:pStyle w:val="FootnoteText"/>
        <w:rPr>
          <w:rFonts w:ascii="Times New Roman" w:hAnsi="Times New Roman"/>
          <w:sz w:val="20"/>
          <w:szCs w:val="20"/>
        </w:rPr>
      </w:pPr>
      <w:r>
        <w:rPr>
          <w:rStyle w:val="FootnoteReference"/>
          <w:rFonts w:ascii="Times New Roman" w:hAnsi="Times New Roman"/>
          <w:sz w:val="20"/>
          <w:szCs w:val="20"/>
        </w:rPr>
        <w:footnoteRef/>
      </w:r>
      <w:r>
        <w:rPr>
          <w:rFonts w:ascii="Times New Roman" w:hAnsi="Times New Roman"/>
          <w:sz w:val="20"/>
          <w:szCs w:val="20"/>
        </w:rPr>
        <w:t xml:space="preserve"> CELP, 655 F.3d at 1007; </w:t>
      </w:r>
      <w:r>
        <w:rPr>
          <w:rFonts w:ascii="Times New Roman" w:hAnsi="Times New Roman"/>
          <w:color w:val="1C1C1C"/>
          <w:sz w:val="20"/>
          <w:szCs w:val="20"/>
        </w:rPr>
        <w:t xml:space="preserve">TE-MOAK, </w:t>
      </w:r>
      <w:r>
        <w:rPr>
          <w:rFonts w:ascii="Times New Roman" w:hAnsi="Times New Roman"/>
          <w:sz w:val="20"/>
          <w:szCs w:val="20"/>
        </w:rPr>
        <w:t>608 F.3d at 603 (explaining that general statements do not constitute a hard look absent sufficient justification why more definitive information could not be provided).</w:t>
      </w:r>
    </w:p>
  </w:footnote>
  <w:footnote w:id="160">
    <w:p w14:paraId="1A5DF804" w14:textId="77777777" w:rsidR="00765734" w:rsidRDefault="00765734" w:rsidP="00EE32A2">
      <w:pPr>
        <w:pStyle w:val="FootnoteText"/>
        <w:rPr>
          <w:sz w:val="20"/>
          <w:szCs w:val="20"/>
        </w:rPr>
      </w:pPr>
      <w:r>
        <w:rPr>
          <w:rStyle w:val="FootnoteReference"/>
          <w:rFonts w:ascii="Times New Roman" w:hAnsi="Times New Roman"/>
          <w:sz w:val="20"/>
          <w:szCs w:val="20"/>
        </w:rPr>
        <w:footnoteRef/>
      </w:r>
      <w:r>
        <w:rPr>
          <w:sz w:val="20"/>
          <w:szCs w:val="20"/>
        </w:rPr>
        <w:t xml:space="preserve"> </w:t>
      </w:r>
      <w:r>
        <w:rPr>
          <w:rFonts w:ascii="Times New Roman" w:hAnsi="Times New Roman"/>
          <w:sz w:val="20"/>
          <w:szCs w:val="20"/>
        </w:rPr>
        <w:t>EA at note 13, p. 62.</w:t>
      </w:r>
    </w:p>
  </w:footnote>
  <w:footnote w:id="161">
    <w:p w14:paraId="5BCA81E6" w14:textId="77777777" w:rsidR="00765734" w:rsidRDefault="00765734" w:rsidP="00D54B46">
      <w:pPr>
        <w:pStyle w:val="FootnoteText"/>
        <w:rPr>
          <w:rFonts w:ascii="Times New Roman" w:hAnsi="Times New Roman"/>
          <w:sz w:val="20"/>
          <w:szCs w:val="20"/>
        </w:rPr>
      </w:pPr>
      <w:r>
        <w:rPr>
          <w:rStyle w:val="FootnoteReference"/>
          <w:rFonts w:ascii="Times New Roman" w:hAnsi="Times New Roman"/>
          <w:sz w:val="20"/>
          <w:szCs w:val="20"/>
        </w:rPr>
        <w:footnoteRef/>
      </w:r>
      <w:r>
        <w:rPr>
          <w:rFonts w:ascii="Times New Roman" w:hAnsi="Times New Roman"/>
          <w:sz w:val="20"/>
          <w:szCs w:val="20"/>
        </w:rPr>
        <w:t xml:space="preserve"> </w:t>
      </w:r>
      <w:r>
        <w:rPr>
          <w:rFonts w:ascii="Times New Roman" w:hAnsi="Times New Roman"/>
          <w:i/>
          <w:sz w:val="20"/>
          <w:szCs w:val="20"/>
        </w:rPr>
        <w:t>Id</w:t>
      </w:r>
      <w:r>
        <w:rPr>
          <w:rFonts w:ascii="Times New Roman" w:hAnsi="Times New Roman"/>
          <w:sz w:val="20"/>
          <w:szCs w:val="20"/>
        </w:rPr>
        <w:t>.</w:t>
      </w:r>
    </w:p>
  </w:footnote>
  <w:footnote w:id="162">
    <w:p w14:paraId="02E636F1" w14:textId="77777777" w:rsidR="00765734" w:rsidRDefault="00765734" w:rsidP="00D54B46">
      <w:pPr>
        <w:pStyle w:val="FootnoteText"/>
        <w:rPr>
          <w:rFonts w:ascii="Times New Roman" w:hAnsi="Times New Roman"/>
          <w:sz w:val="20"/>
          <w:szCs w:val="20"/>
        </w:rPr>
      </w:pPr>
      <w:r>
        <w:rPr>
          <w:rStyle w:val="FootnoteReference"/>
          <w:rFonts w:ascii="Times New Roman" w:hAnsi="Times New Roman"/>
          <w:sz w:val="20"/>
          <w:szCs w:val="20"/>
        </w:rPr>
        <w:footnoteRef/>
      </w:r>
      <w:r>
        <w:rPr>
          <w:rFonts w:ascii="Times New Roman" w:hAnsi="Times New Roman"/>
          <w:sz w:val="20"/>
          <w:szCs w:val="20"/>
        </w:rPr>
        <w:t xml:space="preserve"> </w:t>
      </w:r>
      <w:r>
        <w:rPr>
          <w:rFonts w:ascii="Times New Roman" w:hAnsi="Times New Roman"/>
          <w:i/>
          <w:sz w:val="20"/>
          <w:szCs w:val="20"/>
        </w:rPr>
        <w:t>See</w:t>
      </w:r>
      <w:r>
        <w:rPr>
          <w:rFonts w:ascii="Times New Roman" w:hAnsi="Times New Roman"/>
          <w:sz w:val="20"/>
          <w:szCs w:val="20"/>
        </w:rPr>
        <w:t xml:space="preserve"> EA note 13 at p.110.</w:t>
      </w:r>
    </w:p>
  </w:footnote>
  <w:footnote w:id="163">
    <w:p w14:paraId="54D65B9F" w14:textId="77777777" w:rsidR="00765734" w:rsidRDefault="00765734" w:rsidP="00D54B46">
      <w:pPr>
        <w:pStyle w:val="FootnoteText"/>
        <w:rPr>
          <w:rFonts w:ascii="Times New Roman" w:hAnsi="Times New Roman"/>
          <w:sz w:val="20"/>
          <w:szCs w:val="20"/>
        </w:rPr>
      </w:pPr>
      <w:r>
        <w:rPr>
          <w:rStyle w:val="FootnoteReference"/>
          <w:rFonts w:ascii="Times New Roman" w:hAnsi="Times New Roman"/>
          <w:sz w:val="20"/>
          <w:szCs w:val="20"/>
        </w:rPr>
        <w:footnoteRef/>
      </w:r>
      <w:r>
        <w:rPr>
          <w:rFonts w:ascii="Times New Roman" w:hAnsi="Times New Roman"/>
          <w:sz w:val="20"/>
          <w:szCs w:val="20"/>
        </w:rPr>
        <w:t xml:space="preserve"> </w:t>
      </w:r>
      <w:r>
        <w:rPr>
          <w:rFonts w:ascii="Times New Roman" w:hAnsi="Times New Roman"/>
          <w:i/>
          <w:sz w:val="20"/>
          <w:szCs w:val="20"/>
        </w:rPr>
        <w:t>Id</w:t>
      </w:r>
      <w:r>
        <w:rPr>
          <w:rFonts w:ascii="Times New Roman" w:hAnsi="Times New Roman"/>
          <w:sz w:val="20"/>
          <w:szCs w:val="20"/>
        </w:rPr>
        <w:t>.</w:t>
      </w:r>
    </w:p>
  </w:footnote>
  <w:footnote w:id="164">
    <w:p w14:paraId="3E85B2B7" w14:textId="77777777" w:rsidR="00765734" w:rsidRDefault="00765734" w:rsidP="00D54B46">
      <w:pPr>
        <w:pStyle w:val="FootnoteText"/>
        <w:rPr>
          <w:rFonts w:ascii="Times New Roman" w:hAnsi="Times New Roman"/>
          <w:sz w:val="20"/>
          <w:szCs w:val="20"/>
        </w:rPr>
      </w:pPr>
      <w:r>
        <w:rPr>
          <w:rStyle w:val="FootnoteReference"/>
          <w:rFonts w:ascii="Times New Roman" w:hAnsi="Times New Roman"/>
          <w:sz w:val="20"/>
          <w:szCs w:val="20"/>
        </w:rPr>
        <w:footnoteRef/>
      </w:r>
      <w:r>
        <w:rPr>
          <w:rFonts w:ascii="Times New Roman" w:hAnsi="Times New Roman"/>
          <w:sz w:val="20"/>
          <w:szCs w:val="20"/>
        </w:rPr>
        <w:t xml:space="preserve"> </w:t>
      </w:r>
      <w:r>
        <w:rPr>
          <w:rFonts w:ascii="Times New Roman" w:hAnsi="Times New Roman"/>
          <w:i/>
          <w:sz w:val="20"/>
          <w:szCs w:val="20"/>
        </w:rPr>
        <w:t>Id</w:t>
      </w:r>
      <w:r>
        <w:rPr>
          <w:rFonts w:ascii="Times New Roman" w:hAnsi="Times New Roman"/>
          <w:sz w:val="20"/>
          <w:szCs w:val="20"/>
        </w:rPr>
        <w:t>.</w:t>
      </w:r>
    </w:p>
  </w:footnote>
  <w:footnote w:id="165">
    <w:p w14:paraId="2A25D9B1" w14:textId="77777777" w:rsidR="00765734" w:rsidRDefault="00765734" w:rsidP="00D54B46">
      <w:pPr>
        <w:pStyle w:val="FootnoteText"/>
        <w:rPr>
          <w:rFonts w:ascii="Times New Roman" w:hAnsi="Times New Roman"/>
          <w:sz w:val="20"/>
          <w:szCs w:val="20"/>
        </w:rPr>
      </w:pPr>
      <w:r>
        <w:rPr>
          <w:rStyle w:val="FootnoteReference"/>
          <w:rFonts w:ascii="Times New Roman" w:hAnsi="Times New Roman"/>
          <w:sz w:val="20"/>
          <w:szCs w:val="20"/>
        </w:rPr>
        <w:footnoteRef/>
      </w:r>
      <w:r>
        <w:rPr>
          <w:rFonts w:ascii="Times New Roman" w:hAnsi="Times New Roman"/>
          <w:sz w:val="20"/>
          <w:szCs w:val="20"/>
        </w:rPr>
        <w:t xml:space="preserve"> </w:t>
      </w:r>
      <w:r>
        <w:rPr>
          <w:rFonts w:ascii="Times New Roman" w:hAnsi="Times New Roman"/>
          <w:i/>
          <w:sz w:val="20"/>
          <w:szCs w:val="20"/>
        </w:rPr>
        <w:t>See</w:t>
      </w:r>
      <w:r>
        <w:rPr>
          <w:rFonts w:ascii="Times New Roman" w:hAnsi="Times New Roman"/>
          <w:sz w:val="20"/>
          <w:szCs w:val="20"/>
        </w:rPr>
        <w:t xml:space="preserve"> EA note 13 at pp.113-14.</w:t>
      </w:r>
    </w:p>
  </w:footnote>
  <w:footnote w:id="166">
    <w:p w14:paraId="091D3285" w14:textId="77777777" w:rsidR="00765734" w:rsidRDefault="00765734" w:rsidP="00D54B46">
      <w:pPr>
        <w:pStyle w:val="FootnoteText"/>
        <w:rPr>
          <w:rFonts w:ascii="Times New Roman" w:hAnsi="Times New Roman"/>
          <w:sz w:val="20"/>
          <w:szCs w:val="20"/>
        </w:rPr>
      </w:pPr>
      <w:r>
        <w:rPr>
          <w:rStyle w:val="FootnoteReference"/>
          <w:rFonts w:ascii="Times New Roman" w:hAnsi="Times New Roman"/>
          <w:sz w:val="20"/>
          <w:szCs w:val="20"/>
        </w:rPr>
        <w:footnoteRef/>
      </w:r>
      <w:r>
        <w:rPr>
          <w:rFonts w:ascii="Times New Roman" w:hAnsi="Times New Roman"/>
          <w:sz w:val="20"/>
          <w:szCs w:val="20"/>
        </w:rPr>
        <w:t xml:space="preserve"> </w:t>
      </w:r>
      <w:r>
        <w:rPr>
          <w:rFonts w:ascii="Times New Roman" w:hAnsi="Times New Roman"/>
          <w:i/>
          <w:sz w:val="20"/>
          <w:szCs w:val="20"/>
        </w:rPr>
        <w:t>Id</w:t>
      </w:r>
      <w:r>
        <w:rPr>
          <w:rFonts w:ascii="Times New Roman" w:hAnsi="Times New Roman"/>
          <w:sz w:val="20"/>
          <w:szCs w:val="20"/>
        </w:rPr>
        <w:t>.</w:t>
      </w:r>
    </w:p>
  </w:footnote>
  <w:footnote w:id="167">
    <w:p w14:paraId="4027DC47" w14:textId="77777777" w:rsidR="00765734" w:rsidRDefault="00765734" w:rsidP="00D54B46">
      <w:pPr>
        <w:pStyle w:val="FootnoteText"/>
        <w:rPr>
          <w:sz w:val="20"/>
          <w:szCs w:val="20"/>
        </w:rPr>
      </w:pPr>
      <w:r>
        <w:rPr>
          <w:rStyle w:val="FootnoteReference"/>
          <w:rFonts w:ascii="Times New Roman" w:hAnsi="Times New Roman"/>
          <w:sz w:val="20"/>
          <w:szCs w:val="20"/>
        </w:rPr>
        <w:footnoteRef/>
      </w:r>
      <w:r>
        <w:rPr>
          <w:sz w:val="20"/>
          <w:szCs w:val="20"/>
        </w:rPr>
        <w:t xml:space="preserve"> </w:t>
      </w:r>
      <w:r>
        <w:rPr>
          <w:rFonts w:ascii="Times New Roman" w:hAnsi="Times New Roman"/>
          <w:i/>
          <w:sz w:val="20"/>
          <w:szCs w:val="20"/>
        </w:rPr>
        <w:t>Id</w:t>
      </w:r>
      <w:r>
        <w:rPr>
          <w:rFonts w:ascii="Times New Roman" w:hAnsi="Times New Roman"/>
          <w:sz w:val="20"/>
          <w:szCs w:val="20"/>
        </w:rPr>
        <w:t>.</w:t>
      </w:r>
    </w:p>
  </w:footnote>
  <w:footnote w:id="168">
    <w:p w14:paraId="543A5FF7" w14:textId="77777777" w:rsidR="00765734" w:rsidRDefault="00765734" w:rsidP="00D54B46">
      <w:pPr>
        <w:pStyle w:val="FootnoteText"/>
        <w:rPr>
          <w:rFonts w:ascii="Times New Roman" w:hAnsi="Times New Roman"/>
          <w:sz w:val="20"/>
          <w:szCs w:val="20"/>
        </w:rPr>
      </w:pPr>
      <w:r>
        <w:rPr>
          <w:rStyle w:val="FootnoteReference"/>
          <w:rFonts w:ascii="Times New Roman" w:hAnsi="Times New Roman"/>
          <w:sz w:val="20"/>
          <w:szCs w:val="20"/>
        </w:rPr>
        <w:footnoteRef/>
      </w:r>
      <w:r>
        <w:rPr>
          <w:rFonts w:ascii="Times New Roman" w:hAnsi="Times New Roman"/>
          <w:sz w:val="20"/>
          <w:szCs w:val="20"/>
        </w:rPr>
        <w:t xml:space="preserve"> </w:t>
      </w:r>
      <w:r>
        <w:rPr>
          <w:rFonts w:ascii="Times New Roman" w:hAnsi="Times New Roman"/>
          <w:i/>
          <w:sz w:val="20"/>
          <w:szCs w:val="20"/>
        </w:rPr>
        <w:t>See</w:t>
      </w:r>
      <w:r>
        <w:rPr>
          <w:rFonts w:ascii="Times New Roman" w:hAnsi="Times New Roman"/>
          <w:sz w:val="20"/>
          <w:szCs w:val="20"/>
        </w:rPr>
        <w:t xml:space="preserve"> EA at note 13 at pp. 60-61 (</w:t>
      </w:r>
      <w:r>
        <w:rPr>
          <w:rFonts w:ascii="Times New Roman" w:hAnsi="Times New Roman"/>
          <w:color w:val="1C1C1C"/>
          <w:sz w:val="20"/>
          <w:szCs w:val="20"/>
        </w:rPr>
        <w:t>The LAU demarcates the acceptable ranges within which a Forest Service project can affect lynx critical habitat).</w:t>
      </w:r>
    </w:p>
  </w:footnote>
  <w:footnote w:id="169">
    <w:p w14:paraId="5E806E34" w14:textId="6F0A5A0E" w:rsidR="00765734" w:rsidRDefault="00765734" w:rsidP="00D54B46">
      <w:pPr>
        <w:pStyle w:val="FootnoteText"/>
        <w:rPr>
          <w:rFonts w:ascii="Times New Roman" w:hAnsi="Times New Roman"/>
          <w:sz w:val="20"/>
          <w:szCs w:val="20"/>
        </w:rPr>
      </w:pPr>
      <w:r>
        <w:rPr>
          <w:rStyle w:val="FootnoteReference"/>
          <w:rFonts w:ascii="Times New Roman" w:hAnsi="Times New Roman"/>
          <w:sz w:val="20"/>
          <w:szCs w:val="20"/>
        </w:rPr>
        <w:footnoteRef/>
      </w:r>
      <w:r>
        <w:rPr>
          <w:rFonts w:ascii="Times New Roman" w:hAnsi="Times New Roman"/>
          <w:sz w:val="20"/>
          <w:szCs w:val="20"/>
        </w:rPr>
        <w:t xml:space="preserve"> </w:t>
      </w:r>
      <w:r>
        <w:rPr>
          <w:rFonts w:ascii="Times New Roman" w:hAnsi="Times New Roman"/>
          <w:i/>
          <w:sz w:val="20"/>
          <w:szCs w:val="20"/>
        </w:rPr>
        <w:t>See</w:t>
      </w:r>
      <w:r>
        <w:rPr>
          <w:rFonts w:ascii="Times New Roman" w:hAnsi="Times New Roman"/>
          <w:sz w:val="20"/>
          <w:szCs w:val="20"/>
        </w:rPr>
        <w:t xml:space="preserve"> EA at note 13 , pp. 60-61 (Table 9 is divided into three parts: Standards; Pre-Treatment Compliance; and Post-Treatment Compliance. The first relevant standard (“VEG S1”) states that “If more than 30% of the lynx habitat in an LAU is currently in a stand initiation structural stage that does not yet provide winter snowshoe hare habitat, no additional habitat may be regenerated by vegetation management projects.” The second standard (“VEG S2”) states “Timber management projects shall not regenerate more than 15% of lynx habitat on NFS lands within a LAU within a 10-year period.” The Pre-Treatment Compliance category represents the existing condition of the habitat under consideration by the Forest Service biologist. The Post-Treatment Compliance category represents the effect that the Forest Service project would have upon the existing condition (Pre-Treatment) of the land. The VEG S1 category indicates that approximately 2% of the LAU presently exists in the stand initiation stage. Post-Treatment, approximately 3% of lynx habitat would exist in the stand initiation stage. The VEG S2 category indicates that approximately 1% of the LAU exists in the regeneration stage. Post-Treatment, approximately 3% of lynx habitat would exist in the regeneration stage).</w:t>
      </w:r>
    </w:p>
  </w:footnote>
  <w:footnote w:id="170">
    <w:p w14:paraId="0010BB2E" w14:textId="77777777" w:rsidR="00765734" w:rsidRDefault="00765734" w:rsidP="00D54B46">
      <w:pPr>
        <w:pStyle w:val="FootnoteText"/>
        <w:rPr>
          <w:rFonts w:ascii="Times New Roman" w:hAnsi="Times New Roman"/>
          <w:sz w:val="20"/>
          <w:szCs w:val="20"/>
        </w:rPr>
      </w:pPr>
      <w:r>
        <w:rPr>
          <w:rStyle w:val="FootnoteReference"/>
          <w:rFonts w:ascii="Times New Roman" w:hAnsi="Times New Roman"/>
          <w:sz w:val="20"/>
          <w:szCs w:val="20"/>
        </w:rPr>
        <w:footnoteRef/>
      </w:r>
      <w:r>
        <w:rPr>
          <w:rFonts w:ascii="Times New Roman" w:hAnsi="Times New Roman"/>
          <w:sz w:val="20"/>
          <w:szCs w:val="20"/>
        </w:rPr>
        <w:t xml:space="preserve"> </w:t>
      </w:r>
      <w:r>
        <w:rPr>
          <w:rFonts w:ascii="Times New Roman" w:hAnsi="Times New Roman"/>
          <w:i/>
          <w:sz w:val="20"/>
          <w:szCs w:val="20"/>
        </w:rPr>
        <w:t>Id</w:t>
      </w:r>
      <w:r>
        <w:rPr>
          <w:rFonts w:ascii="Times New Roman" w:hAnsi="Times New Roman"/>
          <w:sz w:val="20"/>
          <w:szCs w:val="20"/>
        </w:rPr>
        <w:t>.</w:t>
      </w:r>
    </w:p>
  </w:footnote>
  <w:footnote w:id="171">
    <w:p w14:paraId="1CE9719C" w14:textId="77777777" w:rsidR="00765734" w:rsidRDefault="00765734" w:rsidP="00D54B46">
      <w:pPr>
        <w:pStyle w:val="FootnoteText"/>
        <w:rPr>
          <w:rFonts w:ascii="Times New Roman" w:hAnsi="Times New Roman"/>
          <w:sz w:val="20"/>
          <w:szCs w:val="20"/>
        </w:rPr>
      </w:pPr>
      <w:r>
        <w:rPr>
          <w:rStyle w:val="FootnoteReference"/>
          <w:rFonts w:ascii="Times New Roman" w:hAnsi="Times New Roman"/>
          <w:sz w:val="20"/>
          <w:szCs w:val="20"/>
        </w:rPr>
        <w:footnoteRef/>
      </w:r>
      <w:r>
        <w:rPr>
          <w:rFonts w:ascii="Times New Roman" w:hAnsi="Times New Roman"/>
          <w:sz w:val="20"/>
          <w:szCs w:val="20"/>
        </w:rPr>
        <w:t xml:space="preserve"> </w:t>
      </w:r>
      <w:r>
        <w:rPr>
          <w:rFonts w:ascii="Times New Roman" w:hAnsi="Times New Roman"/>
          <w:i/>
          <w:sz w:val="20"/>
          <w:szCs w:val="20"/>
        </w:rPr>
        <w:t>Id</w:t>
      </w:r>
      <w:r>
        <w:rPr>
          <w:rFonts w:ascii="Times New Roman" w:hAnsi="Times New Roman"/>
          <w:sz w:val="20"/>
          <w:szCs w:val="20"/>
        </w:rPr>
        <w:t>.</w:t>
      </w:r>
    </w:p>
  </w:footnote>
  <w:footnote w:id="172">
    <w:p w14:paraId="42B8335B" w14:textId="77777777" w:rsidR="00765734" w:rsidRDefault="00765734" w:rsidP="00D54B46">
      <w:pPr>
        <w:pStyle w:val="FootnoteText"/>
        <w:rPr>
          <w:rFonts w:ascii="Times New Roman" w:hAnsi="Times New Roman"/>
          <w:sz w:val="20"/>
          <w:szCs w:val="20"/>
        </w:rPr>
      </w:pPr>
      <w:r>
        <w:rPr>
          <w:rStyle w:val="FootnoteReference"/>
          <w:rFonts w:ascii="Times New Roman" w:hAnsi="Times New Roman"/>
          <w:sz w:val="20"/>
          <w:szCs w:val="20"/>
        </w:rPr>
        <w:footnoteRef/>
      </w:r>
      <w:r>
        <w:rPr>
          <w:rFonts w:ascii="Times New Roman" w:hAnsi="Times New Roman"/>
          <w:sz w:val="20"/>
          <w:szCs w:val="20"/>
        </w:rPr>
        <w:t xml:space="preserve"> FRIENDS, 875 F.Supp.2d at 1220.</w:t>
      </w:r>
    </w:p>
  </w:footnote>
  <w:footnote w:id="173">
    <w:p w14:paraId="2F970EB0" w14:textId="77777777" w:rsidR="00765734" w:rsidRDefault="00765734" w:rsidP="00D54B46">
      <w:pPr>
        <w:pStyle w:val="FootnoteText"/>
        <w:rPr>
          <w:rFonts w:ascii="Times New Roman" w:hAnsi="Times New Roman"/>
          <w:sz w:val="20"/>
          <w:szCs w:val="20"/>
        </w:rPr>
      </w:pPr>
      <w:r>
        <w:rPr>
          <w:rStyle w:val="FootnoteReference"/>
          <w:rFonts w:ascii="Times New Roman" w:hAnsi="Times New Roman"/>
          <w:sz w:val="20"/>
          <w:szCs w:val="20"/>
        </w:rPr>
        <w:footnoteRef/>
      </w:r>
      <w:r>
        <w:rPr>
          <w:rFonts w:ascii="Times New Roman" w:hAnsi="Times New Roman"/>
          <w:sz w:val="20"/>
          <w:szCs w:val="20"/>
        </w:rPr>
        <w:t xml:space="preserve"> </w:t>
      </w:r>
      <w:r>
        <w:rPr>
          <w:rFonts w:ascii="Times New Roman" w:hAnsi="Times New Roman"/>
          <w:i/>
          <w:sz w:val="20"/>
          <w:szCs w:val="20"/>
        </w:rPr>
        <w:t>Id</w:t>
      </w:r>
      <w:r>
        <w:rPr>
          <w:rFonts w:ascii="Times New Roman" w:hAnsi="Times New Roman"/>
          <w:sz w:val="20"/>
          <w:szCs w:val="20"/>
        </w:rPr>
        <w:t>.</w:t>
      </w:r>
    </w:p>
  </w:footnote>
  <w:footnote w:id="174">
    <w:p w14:paraId="511B4D9A" w14:textId="17554138" w:rsidR="00765734" w:rsidRDefault="00765734" w:rsidP="00D54B46">
      <w:pPr>
        <w:pStyle w:val="FootnoteText"/>
        <w:rPr>
          <w:rFonts w:ascii="Times New Roman" w:hAnsi="Times New Roman"/>
          <w:sz w:val="20"/>
          <w:szCs w:val="20"/>
        </w:rPr>
      </w:pPr>
      <w:r>
        <w:rPr>
          <w:rStyle w:val="FootnoteReference"/>
          <w:rFonts w:ascii="Times New Roman" w:hAnsi="Times New Roman"/>
          <w:sz w:val="20"/>
          <w:szCs w:val="20"/>
        </w:rPr>
        <w:footnoteRef/>
      </w:r>
      <w:r>
        <w:rPr>
          <w:rFonts w:ascii="Times New Roman" w:hAnsi="Times New Roman"/>
          <w:sz w:val="20"/>
          <w:szCs w:val="20"/>
        </w:rPr>
        <w:t xml:space="preserve"> </w:t>
      </w:r>
      <w:r>
        <w:rPr>
          <w:rFonts w:ascii="Times New Roman" w:hAnsi="Times New Roman"/>
          <w:i/>
          <w:sz w:val="20"/>
          <w:szCs w:val="20"/>
        </w:rPr>
        <w:t>Id</w:t>
      </w:r>
      <w:r>
        <w:rPr>
          <w:rFonts w:ascii="Times New Roman" w:hAnsi="Times New Roman"/>
          <w:sz w:val="20"/>
          <w:szCs w:val="20"/>
        </w:rPr>
        <w:t>.</w:t>
      </w:r>
    </w:p>
  </w:footnote>
  <w:footnote w:id="175">
    <w:p w14:paraId="1F7CFAB8" w14:textId="543C5CD5" w:rsidR="00765734" w:rsidRDefault="00765734" w:rsidP="00D54B46">
      <w:pPr>
        <w:pStyle w:val="FootnoteText"/>
        <w:rPr>
          <w:rFonts w:ascii="Times New Roman" w:hAnsi="Times New Roman"/>
          <w:sz w:val="20"/>
          <w:szCs w:val="20"/>
        </w:rPr>
      </w:pPr>
      <w:r>
        <w:rPr>
          <w:rStyle w:val="FootnoteReference"/>
          <w:rFonts w:ascii="Times New Roman" w:hAnsi="Times New Roman"/>
          <w:sz w:val="20"/>
          <w:szCs w:val="20"/>
        </w:rPr>
        <w:footnoteRef/>
      </w:r>
      <w:r>
        <w:rPr>
          <w:rFonts w:ascii="Times New Roman" w:hAnsi="Times New Roman"/>
          <w:sz w:val="20"/>
          <w:szCs w:val="20"/>
        </w:rPr>
        <w:t xml:space="preserve"> </w:t>
      </w:r>
      <w:r>
        <w:rPr>
          <w:rFonts w:ascii="Times New Roman" w:hAnsi="Times New Roman"/>
          <w:i/>
          <w:sz w:val="20"/>
          <w:szCs w:val="20"/>
        </w:rPr>
        <w:t>Id</w:t>
      </w:r>
      <w:r>
        <w:rPr>
          <w:rFonts w:ascii="Times New Roman" w:hAnsi="Times New Roman"/>
          <w:sz w:val="20"/>
          <w:szCs w:val="20"/>
        </w:rPr>
        <w:t>.</w:t>
      </w:r>
    </w:p>
  </w:footnote>
  <w:footnote w:id="176">
    <w:p w14:paraId="18AB1C4B" w14:textId="77777777" w:rsidR="00765734" w:rsidRDefault="00765734" w:rsidP="00D54B46">
      <w:pPr>
        <w:pStyle w:val="FootnoteText"/>
        <w:rPr>
          <w:rFonts w:ascii="Times New Roman" w:hAnsi="Times New Roman"/>
        </w:rPr>
      </w:pPr>
      <w:r>
        <w:rPr>
          <w:rStyle w:val="FootnoteReference"/>
          <w:rFonts w:ascii="Times New Roman" w:hAnsi="Times New Roman"/>
          <w:sz w:val="20"/>
          <w:szCs w:val="20"/>
        </w:rPr>
        <w:footnoteRef/>
      </w:r>
      <w:r>
        <w:rPr>
          <w:rFonts w:ascii="Times New Roman" w:hAnsi="Times New Roman"/>
        </w:rPr>
        <w:t xml:space="preserve"> </w:t>
      </w:r>
      <w:r>
        <w:rPr>
          <w:rFonts w:ascii="Times New Roman" w:hAnsi="Times New Roman"/>
          <w:i/>
          <w:sz w:val="20"/>
          <w:szCs w:val="20"/>
        </w:rPr>
        <w:t>See</w:t>
      </w:r>
      <w:r>
        <w:rPr>
          <w:rFonts w:ascii="Times New Roman" w:hAnsi="Times New Roman"/>
          <w:sz w:val="20"/>
          <w:szCs w:val="20"/>
        </w:rPr>
        <w:t xml:space="preserve"> EA at note 13, pp. 60-61, 110-13.</w:t>
      </w:r>
    </w:p>
  </w:footnote>
  <w:footnote w:id="177">
    <w:p w14:paraId="2E2FADE8" w14:textId="77777777" w:rsidR="00765734" w:rsidRDefault="00765734" w:rsidP="00EE32A2">
      <w:pPr>
        <w:pStyle w:val="FootnoteText"/>
        <w:rPr>
          <w:rFonts w:ascii="Times New Roman" w:hAnsi="Times New Roman"/>
          <w:sz w:val="20"/>
          <w:szCs w:val="20"/>
        </w:rPr>
      </w:pPr>
      <w:r>
        <w:rPr>
          <w:rStyle w:val="FootnoteReference"/>
          <w:rFonts w:ascii="Times New Roman" w:hAnsi="Times New Roman"/>
          <w:sz w:val="20"/>
          <w:szCs w:val="20"/>
        </w:rPr>
        <w:footnoteRef/>
      </w:r>
      <w:r>
        <w:rPr>
          <w:rFonts w:ascii="Times New Roman" w:hAnsi="Times New Roman"/>
          <w:sz w:val="20"/>
          <w:szCs w:val="20"/>
        </w:rPr>
        <w:t xml:space="preserve"> </w:t>
      </w:r>
      <w:r>
        <w:rPr>
          <w:rFonts w:ascii="Times New Roman" w:hAnsi="Times New Roman"/>
          <w:i/>
          <w:sz w:val="20"/>
          <w:szCs w:val="20"/>
        </w:rPr>
        <w:t>See</w:t>
      </w:r>
      <w:r>
        <w:rPr>
          <w:rFonts w:ascii="Times New Roman" w:hAnsi="Times New Roman"/>
          <w:sz w:val="20"/>
          <w:szCs w:val="20"/>
        </w:rPr>
        <w:t xml:space="preserve"> FRIENDS, 875 F.Supp.2d at 1220.</w:t>
      </w:r>
    </w:p>
  </w:footnote>
  <w:footnote w:id="178">
    <w:p w14:paraId="762F7073" w14:textId="77777777" w:rsidR="00765734" w:rsidRDefault="00765734" w:rsidP="00EE32A2">
      <w:pPr>
        <w:pStyle w:val="FootnoteText"/>
        <w:rPr>
          <w:rFonts w:ascii="Times New Roman" w:hAnsi="Times New Roman"/>
          <w:sz w:val="20"/>
          <w:szCs w:val="20"/>
        </w:rPr>
      </w:pPr>
      <w:r>
        <w:rPr>
          <w:rStyle w:val="FootnoteReference"/>
          <w:rFonts w:ascii="Times New Roman" w:hAnsi="Times New Roman"/>
          <w:sz w:val="20"/>
          <w:szCs w:val="20"/>
        </w:rPr>
        <w:footnoteRef/>
      </w:r>
      <w:r>
        <w:rPr>
          <w:rFonts w:ascii="Times New Roman" w:hAnsi="Times New Roman"/>
          <w:sz w:val="20"/>
          <w:szCs w:val="20"/>
        </w:rPr>
        <w:t xml:space="preserve"> </w:t>
      </w:r>
      <w:r w:rsidRPr="006E3E11">
        <w:rPr>
          <w:rFonts w:ascii="Times New Roman" w:hAnsi="Times New Roman"/>
          <w:i/>
          <w:sz w:val="20"/>
          <w:szCs w:val="20"/>
        </w:rPr>
        <w:t>See</w:t>
      </w:r>
      <w:r>
        <w:rPr>
          <w:rFonts w:ascii="Times New Roman" w:hAnsi="Times New Roman"/>
          <w:sz w:val="20"/>
          <w:szCs w:val="20"/>
        </w:rPr>
        <w:t xml:space="preserve"> EA at note 13, p. 62.</w:t>
      </w:r>
    </w:p>
  </w:footnote>
  <w:footnote w:id="179">
    <w:p w14:paraId="14F9DD72" w14:textId="77777777" w:rsidR="00765734" w:rsidRDefault="00765734" w:rsidP="00EE32A2">
      <w:pPr>
        <w:pStyle w:val="FootnoteText"/>
        <w:rPr>
          <w:rFonts w:ascii="Times New Roman" w:hAnsi="Times New Roman"/>
          <w:sz w:val="20"/>
          <w:szCs w:val="20"/>
        </w:rPr>
      </w:pPr>
      <w:r>
        <w:rPr>
          <w:rStyle w:val="FootnoteReference"/>
          <w:rFonts w:ascii="Times New Roman" w:hAnsi="Times New Roman"/>
          <w:sz w:val="20"/>
          <w:szCs w:val="20"/>
        </w:rPr>
        <w:footnoteRef/>
      </w:r>
      <w:r>
        <w:rPr>
          <w:rFonts w:ascii="Times New Roman" w:hAnsi="Times New Roman"/>
          <w:sz w:val="20"/>
          <w:szCs w:val="20"/>
        </w:rPr>
        <w:t xml:space="preserve"> </w:t>
      </w:r>
      <w:r>
        <w:rPr>
          <w:rFonts w:ascii="Times New Roman" w:hAnsi="Times New Roman"/>
          <w:i/>
          <w:sz w:val="20"/>
          <w:szCs w:val="20"/>
        </w:rPr>
        <w:t>Id</w:t>
      </w:r>
      <w:r>
        <w:rPr>
          <w:rFonts w:ascii="Times New Roman" w:hAnsi="Times New Roman"/>
          <w:sz w:val="20"/>
          <w:szCs w:val="20"/>
        </w:rPr>
        <w:t>.</w:t>
      </w:r>
    </w:p>
  </w:footnote>
  <w:footnote w:id="180">
    <w:p w14:paraId="50B12705" w14:textId="77777777" w:rsidR="00765734" w:rsidRDefault="00765734" w:rsidP="00EE32A2">
      <w:pPr>
        <w:pStyle w:val="FootnoteText"/>
        <w:rPr>
          <w:rFonts w:ascii="Times New Roman" w:hAnsi="Times New Roman"/>
        </w:rPr>
      </w:pPr>
      <w:r>
        <w:rPr>
          <w:rStyle w:val="FootnoteReference"/>
          <w:rFonts w:ascii="Times New Roman" w:hAnsi="Times New Roman"/>
          <w:sz w:val="20"/>
          <w:szCs w:val="20"/>
        </w:rPr>
        <w:footnoteRef/>
      </w:r>
      <w:r>
        <w:rPr>
          <w:rFonts w:ascii="Times New Roman" w:hAnsi="Times New Roman"/>
          <w:sz w:val="20"/>
          <w:szCs w:val="20"/>
        </w:rPr>
        <w:t xml:space="preserve"> </w:t>
      </w:r>
      <w:r>
        <w:rPr>
          <w:rFonts w:ascii="Times New Roman" w:hAnsi="Times New Roman"/>
          <w:i/>
          <w:sz w:val="20"/>
          <w:szCs w:val="20"/>
        </w:rPr>
        <w:t>Id</w:t>
      </w:r>
      <w:r>
        <w:rPr>
          <w:rFonts w:ascii="Times New Roman" w:hAnsi="Times New Roman"/>
          <w:sz w:val="20"/>
          <w:szCs w:val="20"/>
        </w:rPr>
        <w:t>.</w:t>
      </w:r>
    </w:p>
  </w:footnote>
  <w:footnote w:id="181">
    <w:p w14:paraId="3732C508" w14:textId="77777777" w:rsidR="00765734" w:rsidRDefault="00765734" w:rsidP="00EE32A2">
      <w:pPr>
        <w:pStyle w:val="FootnoteText"/>
        <w:rPr>
          <w:sz w:val="20"/>
          <w:szCs w:val="20"/>
        </w:rPr>
      </w:pPr>
      <w:r>
        <w:rPr>
          <w:rStyle w:val="FootnoteReference"/>
          <w:rFonts w:ascii="Times New Roman" w:hAnsi="Times New Roman"/>
          <w:sz w:val="20"/>
          <w:szCs w:val="20"/>
        </w:rPr>
        <w:footnoteRef/>
      </w:r>
      <w:r>
        <w:rPr>
          <w:sz w:val="20"/>
          <w:szCs w:val="20"/>
        </w:rPr>
        <w:t xml:space="preserve"> </w:t>
      </w:r>
      <w:r>
        <w:rPr>
          <w:rFonts w:ascii="Times New Roman" w:hAnsi="Times New Roman"/>
          <w:i/>
          <w:sz w:val="20"/>
          <w:szCs w:val="20"/>
        </w:rPr>
        <w:t>Id</w:t>
      </w:r>
      <w:r>
        <w:rPr>
          <w:rFonts w:ascii="Times New Roman" w:hAnsi="Times New Roman"/>
          <w:sz w:val="20"/>
          <w:szCs w:val="20"/>
        </w:rPr>
        <w:t>.</w:t>
      </w:r>
    </w:p>
  </w:footnote>
  <w:footnote w:id="182">
    <w:p w14:paraId="31BD920F" w14:textId="02EF9936" w:rsidR="00765734" w:rsidRDefault="00765734" w:rsidP="00EE32A2">
      <w:pPr>
        <w:pStyle w:val="FootnoteText"/>
        <w:rPr>
          <w:rFonts w:ascii="Times New Roman" w:hAnsi="Times New Roman"/>
          <w:sz w:val="20"/>
          <w:szCs w:val="20"/>
        </w:rPr>
      </w:pPr>
      <w:r>
        <w:rPr>
          <w:rStyle w:val="FootnoteReference"/>
          <w:rFonts w:ascii="Times New Roman" w:hAnsi="Times New Roman"/>
          <w:sz w:val="20"/>
          <w:szCs w:val="20"/>
        </w:rPr>
        <w:footnoteRef/>
      </w:r>
      <w:r>
        <w:rPr>
          <w:rFonts w:ascii="Times New Roman" w:hAnsi="Times New Roman"/>
          <w:sz w:val="20"/>
          <w:szCs w:val="20"/>
        </w:rPr>
        <w:t xml:space="preserve"> </w:t>
      </w:r>
      <w:r w:rsidRPr="006E3E11">
        <w:rPr>
          <w:rFonts w:ascii="Times New Roman" w:hAnsi="Times New Roman"/>
          <w:i/>
          <w:sz w:val="20"/>
          <w:szCs w:val="20"/>
        </w:rPr>
        <w:t>See</w:t>
      </w:r>
      <w:r>
        <w:rPr>
          <w:rFonts w:ascii="Times New Roman" w:hAnsi="Times New Roman"/>
          <w:sz w:val="20"/>
          <w:szCs w:val="20"/>
        </w:rPr>
        <w:t xml:space="preserve"> </w:t>
      </w:r>
      <w:r w:rsidRPr="006E3E11">
        <w:rPr>
          <w:rFonts w:ascii="Times New Roman" w:hAnsi="Times New Roman"/>
          <w:color w:val="1C1C1C"/>
          <w:sz w:val="20"/>
          <w:szCs w:val="20"/>
        </w:rPr>
        <w:t>TE</w:t>
      </w:r>
      <w:r>
        <w:rPr>
          <w:rFonts w:ascii="Times New Roman" w:hAnsi="Times New Roman"/>
          <w:color w:val="1C1C1C"/>
          <w:sz w:val="20"/>
          <w:szCs w:val="20"/>
        </w:rPr>
        <w:t xml:space="preserve">-MOAK, </w:t>
      </w:r>
      <w:r>
        <w:rPr>
          <w:rFonts w:ascii="Times New Roman" w:hAnsi="Times New Roman"/>
          <w:sz w:val="20"/>
          <w:szCs w:val="20"/>
        </w:rPr>
        <w:t>608 F.3d at 603.</w:t>
      </w:r>
    </w:p>
  </w:footnote>
  <w:footnote w:id="183">
    <w:p w14:paraId="6ECE90B8" w14:textId="5BB760CD" w:rsidR="00765734" w:rsidRPr="006E3E11" w:rsidRDefault="00765734">
      <w:pPr>
        <w:pStyle w:val="FootnoteText"/>
        <w:rPr>
          <w:rFonts w:ascii="Times New Roman" w:hAnsi="Times New Roman" w:cs="Times New Roman"/>
          <w:sz w:val="20"/>
          <w:szCs w:val="20"/>
        </w:rPr>
      </w:pPr>
      <w:r w:rsidRPr="006E3E11">
        <w:rPr>
          <w:rStyle w:val="FootnoteReference"/>
          <w:rFonts w:ascii="Times New Roman" w:hAnsi="Times New Roman" w:cs="Times New Roman"/>
          <w:sz w:val="20"/>
          <w:szCs w:val="20"/>
        </w:rPr>
        <w:footnoteRef/>
      </w:r>
      <w:r w:rsidRPr="006E3E11">
        <w:rPr>
          <w:rFonts w:ascii="Times New Roman" w:hAnsi="Times New Roman" w:cs="Times New Roman"/>
          <w:sz w:val="20"/>
          <w:szCs w:val="20"/>
        </w:rPr>
        <w:t xml:space="preserve"> </w:t>
      </w:r>
      <w:r w:rsidRPr="006E3E11">
        <w:rPr>
          <w:rFonts w:ascii="Times New Roman" w:hAnsi="Times New Roman" w:cs="Times New Roman"/>
          <w:i/>
          <w:sz w:val="20"/>
          <w:szCs w:val="20"/>
        </w:rPr>
        <w:t>See</w:t>
      </w:r>
      <w:r w:rsidRPr="006E3E11">
        <w:rPr>
          <w:rFonts w:ascii="Times New Roman" w:hAnsi="Times New Roman" w:cs="Times New Roman"/>
          <w:sz w:val="20"/>
          <w:szCs w:val="20"/>
        </w:rPr>
        <w:t xml:space="preserve"> CELP, 655 F.3d at 1008.</w:t>
      </w:r>
    </w:p>
  </w:footnote>
  <w:footnote w:id="184">
    <w:p w14:paraId="680AA8B2" w14:textId="44492438" w:rsidR="00765734" w:rsidRDefault="00765734" w:rsidP="00EE32A2">
      <w:pPr>
        <w:pStyle w:val="FootnoteText"/>
        <w:rPr>
          <w:rFonts w:ascii="Times New Roman" w:hAnsi="Times New Roman"/>
          <w:sz w:val="20"/>
          <w:szCs w:val="20"/>
        </w:rPr>
      </w:pPr>
      <w:r>
        <w:rPr>
          <w:rStyle w:val="FootnoteReference"/>
          <w:rFonts w:ascii="Times New Roman" w:hAnsi="Times New Roman"/>
          <w:sz w:val="20"/>
          <w:szCs w:val="20"/>
        </w:rPr>
        <w:footnoteRef/>
      </w:r>
      <w:r>
        <w:rPr>
          <w:rFonts w:ascii="Times New Roman" w:hAnsi="Times New Roman"/>
          <w:sz w:val="20"/>
          <w:szCs w:val="20"/>
        </w:rPr>
        <w:t xml:space="preserve"> </w:t>
      </w:r>
      <w:r w:rsidRPr="006E3E11">
        <w:rPr>
          <w:rFonts w:ascii="Times New Roman" w:hAnsi="Times New Roman"/>
          <w:i/>
          <w:sz w:val="20"/>
          <w:szCs w:val="20"/>
        </w:rPr>
        <w:t>See</w:t>
      </w:r>
      <w:r>
        <w:rPr>
          <w:rFonts w:ascii="Times New Roman" w:hAnsi="Times New Roman"/>
          <w:i/>
          <w:sz w:val="20"/>
          <w:szCs w:val="20"/>
        </w:rPr>
        <w:t xml:space="preserve"> generally</w:t>
      </w:r>
      <w:r>
        <w:rPr>
          <w:rFonts w:ascii="Times New Roman" w:hAnsi="Times New Roman"/>
          <w:sz w:val="20"/>
          <w:szCs w:val="20"/>
        </w:rPr>
        <w:t xml:space="preserve"> EA at note 13.</w:t>
      </w:r>
    </w:p>
  </w:footnote>
  <w:footnote w:id="185">
    <w:p w14:paraId="7BF6B311" w14:textId="77777777" w:rsidR="00765734" w:rsidRDefault="00765734" w:rsidP="00EE32A2">
      <w:pPr>
        <w:pStyle w:val="FootnoteText"/>
        <w:rPr>
          <w:rFonts w:ascii="Times New Roman" w:hAnsi="Times New Roman"/>
          <w:sz w:val="20"/>
          <w:szCs w:val="20"/>
        </w:rPr>
      </w:pPr>
      <w:r>
        <w:rPr>
          <w:rStyle w:val="FootnoteReference"/>
          <w:rFonts w:ascii="Times New Roman" w:hAnsi="Times New Roman"/>
          <w:sz w:val="20"/>
          <w:szCs w:val="20"/>
        </w:rPr>
        <w:footnoteRef/>
      </w:r>
      <w:r>
        <w:rPr>
          <w:rFonts w:ascii="Times New Roman" w:hAnsi="Times New Roman"/>
          <w:sz w:val="20"/>
          <w:szCs w:val="20"/>
        </w:rPr>
        <w:t xml:space="preserve"> FRIENDS at 1212.</w:t>
      </w:r>
    </w:p>
  </w:footnote>
  <w:footnote w:id="186">
    <w:p w14:paraId="42407D6D" w14:textId="77777777" w:rsidR="00765734" w:rsidRDefault="00765734" w:rsidP="00EE32A2">
      <w:pPr>
        <w:pStyle w:val="FootnoteText"/>
      </w:pPr>
      <w:r>
        <w:rPr>
          <w:rStyle w:val="FootnoteReference"/>
          <w:rFonts w:ascii="Times New Roman" w:hAnsi="Times New Roman"/>
          <w:sz w:val="20"/>
          <w:szCs w:val="20"/>
        </w:rPr>
        <w:footnoteRef/>
      </w:r>
      <w:r>
        <w:rPr>
          <w:rFonts w:ascii="Times New Roman" w:hAnsi="Times New Roman"/>
          <w:sz w:val="20"/>
          <w:szCs w:val="20"/>
        </w:rPr>
        <w:t xml:space="preserve"> </w:t>
      </w:r>
      <w:r w:rsidRPr="00DE7DF2">
        <w:rPr>
          <w:rFonts w:ascii="Times New Roman" w:hAnsi="Times New Roman"/>
          <w:iCs/>
          <w:sz w:val="20"/>
          <w:szCs w:val="20"/>
        </w:rPr>
        <w:t>Bering Strait Citizens for Responsible Res. Dev. v. U.S. Army Corps of Eng'rs,</w:t>
      </w:r>
      <w:r>
        <w:rPr>
          <w:rFonts w:ascii="Times New Roman" w:hAnsi="Times New Roman"/>
          <w:sz w:val="20"/>
          <w:szCs w:val="20"/>
        </w:rPr>
        <w:t xml:space="preserve"> 524 F.3d 938, 947 (9thCir. 2008).</w:t>
      </w:r>
      <w:r>
        <w:t xml:space="preserve">  </w:t>
      </w:r>
    </w:p>
  </w:footnote>
  <w:footnote w:id="187">
    <w:p w14:paraId="3F1887F4" w14:textId="77777777" w:rsidR="00765734" w:rsidRDefault="00765734" w:rsidP="00EE32A2">
      <w:pPr>
        <w:pStyle w:val="FootnoteText"/>
        <w:rPr>
          <w:rFonts w:ascii="Times New Roman" w:hAnsi="Times New Roman"/>
          <w:sz w:val="20"/>
          <w:szCs w:val="20"/>
        </w:rPr>
      </w:pPr>
      <w:r>
        <w:rPr>
          <w:rStyle w:val="FootnoteReference"/>
          <w:rFonts w:ascii="Times New Roman" w:hAnsi="Times New Roman"/>
          <w:sz w:val="20"/>
          <w:szCs w:val="20"/>
        </w:rPr>
        <w:footnoteRef/>
      </w:r>
      <w:r>
        <w:rPr>
          <w:rFonts w:ascii="Times New Roman" w:hAnsi="Times New Roman"/>
          <w:sz w:val="20"/>
          <w:szCs w:val="20"/>
        </w:rPr>
        <w:t xml:space="preserve"> 5 U.S.C. § 706(2)(A) (1966).</w:t>
      </w:r>
    </w:p>
  </w:footnote>
  <w:footnote w:id="188">
    <w:p w14:paraId="2B246ED0" w14:textId="50F46DE4" w:rsidR="00765734" w:rsidRDefault="00765734" w:rsidP="00EE32A2">
      <w:pPr>
        <w:pStyle w:val="FootnoteText"/>
        <w:rPr>
          <w:rFonts w:ascii="Times New Roman" w:hAnsi="Times New Roman"/>
          <w:sz w:val="20"/>
          <w:szCs w:val="20"/>
        </w:rPr>
      </w:pPr>
      <w:r>
        <w:rPr>
          <w:rStyle w:val="FootnoteReference"/>
          <w:rFonts w:ascii="Times New Roman" w:hAnsi="Times New Roman"/>
          <w:sz w:val="20"/>
          <w:szCs w:val="20"/>
        </w:rPr>
        <w:footnoteRef/>
      </w:r>
      <w:r>
        <w:rPr>
          <w:rFonts w:ascii="Times New Roman" w:hAnsi="Times New Roman"/>
          <w:sz w:val="20"/>
          <w:szCs w:val="20"/>
        </w:rPr>
        <w:t xml:space="preserve"> CELP, 655 F.3d at 1008.</w:t>
      </w:r>
    </w:p>
  </w:footnote>
  <w:footnote w:id="189">
    <w:p w14:paraId="4C8062F1" w14:textId="77777777" w:rsidR="00765734" w:rsidRPr="00B21DA1" w:rsidRDefault="00765734" w:rsidP="007050CC">
      <w:pPr>
        <w:pStyle w:val="FootnoteText"/>
        <w:rPr>
          <w:rFonts w:ascii="Times New Roman" w:hAnsi="Times New Roman" w:cs="Times New Roman"/>
          <w:sz w:val="20"/>
          <w:szCs w:val="20"/>
        </w:rPr>
      </w:pPr>
      <w:r w:rsidRPr="00B21DA1">
        <w:rPr>
          <w:rStyle w:val="FootnoteReference"/>
          <w:rFonts w:ascii="Times New Roman" w:hAnsi="Times New Roman" w:cs="Times New Roman"/>
          <w:sz w:val="20"/>
          <w:szCs w:val="20"/>
        </w:rPr>
        <w:footnoteRef/>
      </w:r>
      <w:r w:rsidRPr="00B21DA1">
        <w:rPr>
          <w:rFonts w:ascii="Times New Roman" w:hAnsi="Times New Roman" w:cs="Times New Roman"/>
          <w:sz w:val="20"/>
          <w:szCs w:val="20"/>
        </w:rPr>
        <w:t xml:space="preserve"> </w:t>
      </w:r>
      <w:r w:rsidRPr="00B21DA1">
        <w:rPr>
          <w:rFonts w:ascii="Times New Roman" w:hAnsi="Times New Roman" w:cs="Times New Roman"/>
          <w:i/>
          <w:sz w:val="20"/>
          <w:szCs w:val="20"/>
        </w:rPr>
        <w:t>Id</w:t>
      </w:r>
      <w:r w:rsidRPr="00B21DA1">
        <w:rPr>
          <w:rFonts w:ascii="Times New Roman" w:hAnsi="Times New Roman" w:cs="Times New Roman"/>
          <w:sz w:val="20"/>
          <w:szCs w:val="20"/>
        </w:rPr>
        <w:t>.</w:t>
      </w:r>
    </w:p>
  </w:footnote>
  <w:footnote w:id="190">
    <w:p w14:paraId="74608805" w14:textId="77777777" w:rsidR="00765734" w:rsidRPr="00B21DA1" w:rsidRDefault="00765734" w:rsidP="007050CC">
      <w:pPr>
        <w:pStyle w:val="FootnoteText"/>
        <w:rPr>
          <w:rFonts w:ascii="Times New Roman" w:hAnsi="Times New Roman" w:cs="Times New Roman"/>
          <w:sz w:val="20"/>
          <w:szCs w:val="20"/>
        </w:rPr>
      </w:pPr>
      <w:r w:rsidRPr="00B21DA1">
        <w:rPr>
          <w:rStyle w:val="FootnoteReference"/>
          <w:rFonts w:ascii="Times New Roman" w:hAnsi="Times New Roman" w:cs="Times New Roman"/>
          <w:sz w:val="20"/>
          <w:szCs w:val="20"/>
        </w:rPr>
        <w:footnoteRef/>
      </w:r>
      <w:r w:rsidRPr="00B21DA1">
        <w:rPr>
          <w:rFonts w:ascii="Times New Roman" w:hAnsi="Times New Roman" w:cs="Times New Roman"/>
          <w:sz w:val="20"/>
          <w:szCs w:val="20"/>
        </w:rPr>
        <w:t xml:space="preserve"> </w:t>
      </w:r>
      <w:r w:rsidRPr="00B21DA1">
        <w:rPr>
          <w:rFonts w:ascii="Times New Roman" w:hAnsi="Times New Roman" w:cs="Times New Roman"/>
          <w:i/>
          <w:sz w:val="20"/>
          <w:szCs w:val="20"/>
        </w:rPr>
        <w:t>Id</w:t>
      </w:r>
      <w:r w:rsidRPr="00B21DA1">
        <w:rPr>
          <w:rFonts w:ascii="Times New Roman" w:hAnsi="Times New Roman" w:cs="Times New Roman"/>
          <w:sz w:val="20"/>
          <w:szCs w:val="20"/>
        </w:rPr>
        <w:t>.</w:t>
      </w:r>
    </w:p>
  </w:footnote>
  <w:footnote w:id="191">
    <w:p w14:paraId="364F2B2B" w14:textId="77777777" w:rsidR="00765734" w:rsidRDefault="00765734" w:rsidP="007050CC">
      <w:pPr>
        <w:pStyle w:val="FootnoteText"/>
        <w:rPr>
          <w:rFonts w:ascii="Times New Roman" w:hAnsi="Times New Roman"/>
          <w:sz w:val="20"/>
          <w:szCs w:val="20"/>
        </w:rPr>
      </w:pPr>
      <w:r w:rsidRPr="00B21DA1">
        <w:rPr>
          <w:rStyle w:val="FootnoteReference"/>
          <w:rFonts w:ascii="Times New Roman" w:hAnsi="Times New Roman" w:cs="Times New Roman"/>
          <w:sz w:val="20"/>
          <w:szCs w:val="20"/>
        </w:rPr>
        <w:footnoteRef/>
      </w:r>
      <w:r w:rsidRPr="00B21DA1">
        <w:rPr>
          <w:rFonts w:ascii="Times New Roman" w:hAnsi="Times New Roman" w:cs="Times New Roman"/>
          <w:sz w:val="20"/>
          <w:szCs w:val="20"/>
        </w:rPr>
        <w:t xml:space="preserve"> </w:t>
      </w:r>
      <w:r w:rsidRPr="00B21DA1">
        <w:rPr>
          <w:rFonts w:ascii="Times New Roman" w:hAnsi="Times New Roman" w:cs="Times New Roman"/>
          <w:i/>
          <w:sz w:val="20"/>
          <w:szCs w:val="20"/>
        </w:rPr>
        <w:t>Id</w:t>
      </w:r>
      <w:r w:rsidRPr="00B21DA1">
        <w:rPr>
          <w:rFonts w:ascii="Times New Roman" w:hAnsi="Times New Roman" w:cs="Times New Roman"/>
          <w:sz w:val="20"/>
          <w:szCs w:val="20"/>
        </w:rPr>
        <w:t>.</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6A3BFD" w14:textId="50CD429A" w:rsidR="006A12EE" w:rsidRDefault="006A12EE" w:rsidP="006A12EE">
    <w:pPr>
      <w:pStyle w:val="Header"/>
      <w:jc w:val="right"/>
    </w:pPr>
    <w:r>
      <w:t>Eric Anderson</w:t>
    </w:r>
  </w:p>
  <w:p w14:paraId="4B387AD6" w14:textId="6D80E622" w:rsidR="006A12EE" w:rsidRDefault="006A12EE" w:rsidP="006A12EE">
    <w:pPr>
      <w:pStyle w:val="Header"/>
      <w:jc w:val="right"/>
    </w:pPr>
    <w:r>
      <w:t>UDWR (2014)</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3969CF"/>
    <w:multiLevelType w:val="multilevel"/>
    <w:tmpl w:val="0409001D"/>
    <w:lvl w:ilvl="0">
      <w:start w:val="1"/>
      <w:numFmt w:val="upperRoman"/>
      <w:lvlText w:val="%1"/>
      <w:lvlJc w:val="left"/>
      <w:pPr>
        <w:ind w:left="360" w:hanging="360"/>
      </w:pPr>
      <w:rPr>
        <w:rFonts w:ascii="Courier New" w:hAnsi="Courier New" w:hint="default"/>
      </w:rPr>
    </w:lvl>
    <w:lvl w:ilvl="1">
      <w:start w:val="1"/>
      <w:numFmt w:val="upperLetter"/>
      <w:lvlText w:val="%2)"/>
      <w:lvlJc w:val="left"/>
      <w:pPr>
        <w:ind w:left="720" w:hanging="360"/>
      </w:pPr>
    </w:lvl>
    <w:lvl w:ilvl="2">
      <w:start w:val="1"/>
      <w:numFmt w:val="decimal"/>
      <w:lvlText w:val="%3)"/>
      <w:lvlJc w:val="left"/>
      <w:pPr>
        <w:ind w:left="1080" w:hanging="360"/>
      </w:pPr>
    </w:lvl>
    <w:lvl w:ilvl="3">
      <w:start w:val="1"/>
      <w:numFmt w:val="lowerLetter"/>
      <w:lvlText w:val="(%4)"/>
      <w:lvlJc w:val="left"/>
      <w:pPr>
        <w:ind w:left="1440" w:hanging="360"/>
      </w:pPr>
    </w:lvl>
    <w:lvl w:ilvl="4">
      <w:start w:val="1"/>
      <w:numFmt w:val="lowerRoman"/>
      <w:lvlText w:val="(%5)"/>
      <w:lvlJc w:val="left"/>
      <w:pPr>
        <w:ind w:left="1800" w:hanging="360"/>
      </w:pPr>
    </w:lvl>
    <w:lvl w:ilvl="5">
      <w:start w:val="1"/>
      <w:numFmt w:val="bullet"/>
      <w:lvlText w:val="o"/>
      <w:lvlJc w:val="left"/>
      <w:pPr>
        <w:ind w:left="2160" w:hanging="360"/>
      </w:pPr>
      <w:rPr>
        <w:rFonts w:ascii="Courier New" w:hAnsi="Courier New"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60D92F96"/>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2A2"/>
    <w:rsid w:val="000270BE"/>
    <w:rsid w:val="00066A0E"/>
    <w:rsid w:val="000679B7"/>
    <w:rsid w:val="00085144"/>
    <w:rsid w:val="000A4FC0"/>
    <w:rsid w:val="000F39EE"/>
    <w:rsid w:val="000F3FBB"/>
    <w:rsid w:val="00110B87"/>
    <w:rsid w:val="00147F17"/>
    <w:rsid w:val="00150269"/>
    <w:rsid w:val="00160013"/>
    <w:rsid w:val="00173ED6"/>
    <w:rsid w:val="00181022"/>
    <w:rsid w:val="001A1C2E"/>
    <w:rsid w:val="001A5897"/>
    <w:rsid w:val="001A765D"/>
    <w:rsid w:val="001B4F7C"/>
    <w:rsid w:val="001E344A"/>
    <w:rsid w:val="001E5824"/>
    <w:rsid w:val="001F223F"/>
    <w:rsid w:val="001F5849"/>
    <w:rsid w:val="001F7968"/>
    <w:rsid w:val="00225F25"/>
    <w:rsid w:val="0024282E"/>
    <w:rsid w:val="00252614"/>
    <w:rsid w:val="00282038"/>
    <w:rsid w:val="002D5B3A"/>
    <w:rsid w:val="0030773A"/>
    <w:rsid w:val="0032515C"/>
    <w:rsid w:val="003316C3"/>
    <w:rsid w:val="003547CE"/>
    <w:rsid w:val="00362CB9"/>
    <w:rsid w:val="00365D0C"/>
    <w:rsid w:val="003A178F"/>
    <w:rsid w:val="003A6304"/>
    <w:rsid w:val="003C7C50"/>
    <w:rsid w:val="003E0AF4"/>
    <w:rsid w:val="003E32FC"/>
    <w:rsid w:val="003E5A00"/>
    <w:rsid w:val="003F65BA"/>
    <w:rsid w:val="00404E4C"/>
    <w:rsid w:val="004070F0"/>
    <w:rsid w:val="00420884"/>
    <w:rsid w:val="00434029"/>
    <w:rsid w:val="00452904"/>
    <w:rsid w:val="004B6AB1"/>
    <w:rsid w:val="004C76A1"/>
    <w:rsid w:val="004F2E78"/>
    <w:rsid w:val="004F457F"/>
    <w:rsid w:val="00520CA7"/>
    <w:rsid w:val="00530A22"/>
    <w:rsid w:val="0054404F"/>
    <w:rsid w:val="00555244"/>
    <w:rsid w:val="00555819"/>
    <w:rsid w:val="00560677"/>
    <w:rsid w:val="00590604"/>
    <w:rsid w:val="005C25F5"/>
    <w:rsid w:val="005D274F"/>
    <w:rsid w:val="005D60E2"/>
    <w:rsid w:val="005E69CA"/>
    <w:rsid w:val="005F7308"/>
    <w:rsid w:val="0060494E"/>
    <w:rsid w:val="00642086"/>
    <w:rsid w:val="00650CB9"/>
    <w:rsid w:val="00666B23"/>
    <w:rsid w:val="00675207"/>
    <w:rsid w:val="006772B5"/>
    <w:rsid w:val="006A12EE"/>
    <w:rsid w:val="006B18FC"/>
    <w:rsid w:val="006B3058"/>
    <w:rsid w:val="006E3081"/>
    <w:rsid w:val="006E3E11"/>
    <w:rsid w:val="007050CC"/>
    <w:rsid w:val="00716927"/>
    <w:rsid w:val="00741A8A"/>
    <w:rsid w:val="0075164D"/>
    <w:rsid w:val="00765734"/>
    <w:rsid w:val="007744DE"/>
    <w:rsid w:val="00777B01"/>
    <w:rsid w:val="007B33C6"/>
    <w:rsid w:val="007F314C"/>
    <w:rsid w:val="0080314A"/>
    <w:rsid w:val="0082004E"/>
    <w:rsid w:val="008378DC"/>
    <w:rsid w:val="00855EA1"/>
    <w:rsid w:val="008570C4"/>
    <w:rsid w:val="00886A68"/>
    <w:rsid w:val="008C0B20"/>
    <w:rsid w:val="008C159B"/>
    <w:rsid w:val="008D51C9"/>
    <w:rsid w:val="008F2D77"/>
    <w:rsid w:val="009162B3"/>
    <w:rsid w:val="00924269"/>
    <w:rsid w:val="009450DC"/>
    <w:rsid w:val="0095164D"/>
    <w:rsid w:val="00970559"/>
    <w:rsid w:val="0098032B"/>
    <w:rsid w:val="009963DC"/>
    <w:rsid w:val="009A5D61"/>
    <w:rsid w:val="009B3802"/>
    <w:rsid w:val="009D4FA5"/>
    <w:rsid w:val="009F17BA"/>
    <w:rsid w:val="00A16B99"/>
    <w:rsid w:val="00A4732C"/>
    <w:rsid w:val="00A54709"/>
    <w:rsid w:val="00A56DCE"/>
    <w:rsid w:val="00A64B0A"/>
    <w:rsid w:val="00A655F9"/>
    <w:rsid w:val="00A76246"/>
    <w:rsid w:val="00A81A70"/>
    <w:rsid w:val="00A85DDE"/>
    <w:rsid w:val="00AB28C7"/>
    <w:rsid w:val="00AF201D"/>
    <w:rsid w:val="00AF529F"/>
    <w:rsid w:val="00B0685D"/>
    <w:rsid w:val="00B102EF"/>
    <w:rsid w:val="00B21DA1"/>
    <w:rsid w:val="00B46322"/>
    <w:rsid w:val="00B46B91"/>
    <w:rsid w:val="00B501C9"/>
    <w:rsid w:val="00B865EF"/>
    <w:rsid w:val="00B932D0"/>
    <w:rsid w:val="00BC24AF"/>
    <w:rsid w:val="00BF3DAA"/>
    <w:rsid w:val="00BF7B1D"/>
    <w:rsid w:val="00C02411"/>
    <w:rsid w:val="00C064A1"/>
    <w:rsid w:val="00C67B6A"/>
    <w:rsid w:val="00C7097F"/>
    <w:rsid w:val="00C75534"/>
    <w:rsid w:val="00C7684F"/>
    <w:rsid w:val="00C900D8"/>
    <w:rsid w:val="00CA24A9"/>
    <w:rsid w:val="00CD1BC6"/>
    <w:rsid w:val="00CE6846"/>
    <w:rsid w:val="00D04F4E"/>
    <w:rsid w:val="00D27163"/>
    <w:rsid w:val="00D37D9C"/>
    <w:rsid w:val="00D513D7"/>
    <w:rsid w:val="00D53F13"/>
    <w:rsid w:val="00D54B46"/>
    <w:rsid w:val="00D87274"/>
    <w:rsid w:val="00D95695"/>
    <w:rsid w:val="00D96986"/>
    <w:rsid w:val="00D9777A"/>
    <w:rsid w:val="00DA088D"/>
    <w:rsid w:val="00DA2CC2"/>
    <w:rsid w:val="00DE4A70"/>
    <w:rsid w:val="00DE7DF2"/>
    <w:rsid w:val="00E032D9"/>
    <w:rsid w:val="00E10615"/>
    <w:rsid w:val="00E11D4A"/>
    <w:rsid w:val="00E138FC"/>
    <w:rsid w:val="00E23D6B"/>
    <w:rsid w:val="00E36269"/>
    <w:rsid w:val="00E53C65"/>
    <w:rsid w:val="00E60A17"/>
    <w:rsid w:val="00E6139B"/>
    <w:rsid w:val="00E86429"/>
    <w:rsid w:val="00ED650F"/>
    <w:rsid w:val="00EE1ED2"/>
    <w:rsid w:val="00EE32A2"/>
    <w:rsid w:val="00F17FB4"/>
    <w:rsid w:val="00F220F5"/>
    <w:rsid w:val="00F419C4"/>
    <w:rsid w:val="00F4210F"/>
    <w:rsid w:val="00F424F7"/>
    <w:rsid w:val="00F425DD"/>
    <w:rsid w:val="00F53A68"/>
    <w:rsid w:val="00F54350"/>
    <w:rsid w:val="00F567AA"/>
    <w:rsid w:val="00F617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B51D54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32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ai">
    <w:name w:val="Outline List 1"/>
    <w:basedOn w:val="NoList"/>
    <w:uiPriority w:val="99"/>
    <w:semiHidden/>
    <w:unhideWhenUsed/>
    <w:rsid w:val="00A76246"/>
    <w:pPr>
      <w:numPr>
        <w:numId w:val="1"/>
      </w:numPr>
    </w:pPr>
  </w:style>
  <w:style w:type="paragraph" w:styleId="FootnoteText">
    <w:name w:val="footnote text"/>
    <w:basedOn w:val="Normal"/>
    <w:link w:val="FootnoteTextChar"/>
    <w:uiPriority w:val="99"/>
    <w:unhideWhenUsed/>
    <w:rsid w:val="00EE32A2"/>
  </w:style>
  <w:style w:type="character" w:customStyle="1" w:styleId="FootnoteTextChar">
    <w:name w:val="Footnote Text Char"/>
    <w:basedOn w:val="DefaultParagraphFont"/>
    <w:link w:val="FootnoteText"/>
    <w:uiPriority w:val="99"/>
    <w:rsid w:val="00EE32A2"/>
  </w:style>
  <w:style w:type="paragraph" w:styleId="NoSpacing">
    <w:name w:val="No Spacing"/>
    <w:uiPriority w:val="1"/>
    <w:qFormat/>
    <w:rsid w:val="00EE32A2"/>
  </w:style>
  <w:style w:type="paragraph" w:customStyle="1" w:styleId="Default">
    <w:name w:val="Default"/>
    <w:rsid w:val="00EE32A2"/>
    <w:pPr>
      <w:widowControl w:val="0"/>
      <w:autoSpaceDE w:val="0"/>
      <w:autoSpaceDN w:val="0"/>
      <w:adjustRightInd w:val="0"/>
    </w:pPr>
    <w:rPr>
      <w:rFonts w:ascii="Times New Roman" w:hAnsi="Times New Roman"/>
      <w:color w:val="000000"/>
    </w:rPr>
  </w:style>
  <w:style w:type="character" w:styleId="FootnoteReference">
    <w:name w:val="footnote reference"/>
    <w:basedOn w:val="DefaultParagraphFont"/>
    <w:uiPriority w:val="99"/>
    <w:unhideWhenUsed/>
    <w:rsid w:val="00EE32A2"/>
    <w:rPr>
      <w:vertAlign w:val="superscript"/>
    </w:rPr>
  </w:style>
  <w:style w:type="paragraph" w:styleId="Footer">
    <w:name w:val="footer"/>
    <w:basedOn w:val="Normal"/>
    <w:link w:val="FooterChar"/>
    <w:uiPriority w:val="99"/>
    <w:unhideWhenUsed/>
    <w:rsid w:val="006A12EE"/>
    <w:pPr>
      <w:tabs>
        <w:tab w:val="center" w:pos="4320"/>
        <w:tab w:val="right" w:pos="8640"/>
      </w:tabs>
    </w:pPr>
  </w:style>
  <w:style w:type="character" w:customStyle="1" w:styleId="FooterChar">
    <w:name w:val="Footer Char"/>
    <w:basedOn w:val="DefaultParagraphFont"/>
    <w:link w:val="Footer"/>
    <w:uiPriority w:val="99"/>
    <w:rsid w:val="006A12EE"/>
  </w:style>
  <w:style w:type="character" w:styleId="PageNumber">
    <w:name w:val="page number"/>
    <w:basedOn w:val="DefaultParagraphFont"/>
    <w:uiPriority w:val="99"/>
    <w:semiHidden/>
    <w:unhideWhenUsed/>
    <w:rsid w:val="006A12EE"/>
  </w:style>
  <w:style w:type="paragraph" w:styleId="Header">
    <w:name w:val="header"/>
    <w:basedOn w:val="Normal"/>
    <w:link w:val="HeaderChar"/>
    <w:uiPriority w:val="99"/>
    <w:unhideWhenUsed/>
    <w:rsid w:val="006A12EE"/>
    <w:pPr>
      <w:tabs>
        <w:tab w:val="center" w:pos="4320"/>
        <w:tab w:val="right" w:pos="8640"/>
      </w:tabs>
    </w:pPr>
  </w:style>
  <w:style w:type="character" w:customStyle="1" w:styleId="HeaderChar">
    <w:name w:val="Header Char"/>
    <w:basedOn w:val="DefaultParagraphFont"/>
    <w:link w:val="Header"/>
    <w:uiPriority w:val="99"/>
    <w:rsid w:val="006A12E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32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ai">
    <w:name w:val="Outline List 1"/>
    <w:basedOn w:val="NoList"/>
    <w:uiPriority w:val="99"/>
    <w:semiHidden/>
    <w:unhideWhenUsed/>
    <w:rsid w:val="00A76246"/>
    <w:pPr>
      <w:numPr>
        <w:numId w:val="1"/>
      </w:numPr>
    </w:pPr>
  </w:style>
  <w:style w:type="paragraph" w:styleId="FootnoteText">
    <w:name w:val="footnote text"/>
    <w:basedOn w:val="Normal"/>
    <w:link w:val="FootnoteTextChar"/>
    <w:uiPriority w:val="99"/>
    <w:unhideWhenUsed/>
    <w:rsid w:val="00EE32A2"/>
  </w:style>
  <w:style w:type="character" w:customStyle="1" w:styleId="FootnoteTextChar">
    <w:name w:val="Footnote Text Char"/>
    <w:basedOn w:val="DefaultParagraphFont"/>
    <w:link w:val="FootnoteText"/>
    <w:uiPriority w:val="99"/>
    <w:rsid w:val="00EE32A2"/>
  </w:style>
  <w:style w:type="paragraph" w:styleId="NoSpacing">
    <w:name w:val="No Spacing"/>
    <w:uiPriority w:val="1"/>
    <w:qFormat/>
    <w:rsid w:val="00EE32A2"/>
  </w:style>
  <w:style w:type="paragraph" w:customStyle="1" w:styleId="Default">
    <w:name w:val="Default"/>
    <w:rsid w:val="00EE32A2"/>
    <w:pPr>
      <w:widowControl w:val="0"/>
      <w:autoSpaceDE w:val="0"/>
      <w:autoSpaceDN w:val="0"/>
      <w:adjustRightInd w:val="0"/>
    </w:pPr>
    <w:rPr>
      <w:rFonts w:ascii="Times New Roman" w:hAnsi="Times New Roman"/>
      <w:color w:val="000000"/>
    </w:rPr>
  </w:style>
  <w:style w:type="character" w:styleId="FootnoteReference">
    <w:name w:val="footnote reference"/>
    <w:basedOn w:val="DefaultParagraphFont"/>
    <w:uiPriority w:val="99"/>
    <w:unhideWhenUsed/>
    <w:rsid w:val="00EE32A2"/>
    <w:rPr>
      <w:vertAlign w:val="superscript"/>
    </w:rPr>
  </w:style>
  <w:style w:type="paragraph" w:styleId="Footer">
    <w:name w:val="footer"/>
    <w:basedOn w:val="Normal"/>
    <w:link w:val="FooterChar"/>
    <w:uiPriority w:val="99"/>
    <w:unhideWhenUsed/>
    <w:rsid w:val="006A12EE"/>
    <w:pPr>
      <w:tabs>
        <w:tab w:val="center" w:pos="4320"/>
        <w:tab w:val="right" w:pos="8640"/>
      </w:tabs>
    </w:pPr>
  </w:style>
  <w:style w:type="character" w:customStyle="1" w:styleId="FooterChar">
    <w:name w:val="Footer Char"/>
    <w:basedOn w:val="DefaultParagraphFont"/>
    <w:link w:val="Footer"/>
    <w:uiPriority w:val="99"/>
    <w:rsid w:val="006A12EE"/>
  </w:style>
  <w:style w:type="character" w:styleId="PageNumber">
    <w:name w:val="page number"/>
    <w:basedOn w:val="DefaultParagraphFont"/>
    <w:uiPriority w:val="99"/>
    <w:semiHidden/>
    <w:unhideWhenUsed/>
    <w:rsid w:val="006A12EE"/>
  </w:style>
  <w:style w:type="paragraph" w:styleId="Header">
    <w:name w:val="header"/>
    <w:basedOn w:val="Normal"/>
    <w:link w:val="HeaderChar"/>
    <w:uiPriority w:val="99"/>
    <w:unhideWhenUsed/>
    <w:rsid w:val="006A12EE"/>
    <w:pPr>
      <w:tabs>
        <w:tab w:val="center" w:pos="4320"/>
        <w:tab w:val="right" w:pos="8640"/>
      </w:tabs>
    </w:pPr>
  </w:style>
  <w:style w:type="character" w:customStyle="1" w:styleId="HeaderChar">
    <w:name w:val="Header Char"/>
    <w:basedOn w:val="DefaultParagraphFont"/>
    <w:link w:val="Header"/>
    <w:uiPriority w:val="99"/>
    <w:rsid w:val="006A12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418398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7A66EC-7D2F-7347-9749-12F4A953F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22</Pages>
  <Words>6557</Words>
  <Characters>37378</Characters>
  <Application>Microsoft Macintosh Word</Application>
  <DocSecurity>0</DocSecurity>
  <Lines>311</Lines>
  <Paragraphs>87</Paragraphs>
  <ScaleCrop>false</ScaleCrop>
  <Company>University of Idaho</Company>
  <LinksUpToDate>false</LinksUpToDate>
  <CharactersWithSpaces>43848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Anderson</dc:creator>
  <cp:keywords/>
  <dc:description/>
  <cp:lastModifiedBy>Eric Anderson</cp:lastModifiedBy>
  <cp:revision>13</cp:revision>
  <dcterms:created xsi:type="dcterms:W3CDTF">2014-10-30T22:30:00Z</dcterms:created>
  <dcterms:modified xsi:type="dcterms:W3CDTF">2014-11-30T23:21:00Z</dcterms:modified>
</cp:coreProperties>
</file>